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D" w:rsidRDefault="00E9414D" w:rsidP="0029612F">
      <w:pPr>
        <w:ind w:firstLine="720"/>
        <w:jc w:val="center"/>
        <w:rPr>
          <w:b/>
          <w:sz w:val="28"/>
          <w:szCs w:val="28"/>
        </w:rPr>
      </w:pPr>
    </w:p>
    <w:p w:rsidR="00E9414D" w:rsidRPr="0060032F" w:rsidRDefault="00E9414D" w:rsidP="004E67B5">
      <w:pPr>
        <w:jc w:val="center"/>
        <w:rPr>
          <w:b/>
          <w:sz w:val="28"/>
          <w:szCs w:val="28"/>
        </w:rPr>
      </w:pPr>
      <w:r w:rsidRPr="0060032F">
        <w:rPr>
          <w:sz w:val="28"/>
          <w:szCs w:val="28"/>
        </w:rPr>
        <w:t xml:space="preserve">          </w:t>
      </w:r>
      <w:r w:rsidRPr="0060032F">
        <w:rPr>
          <w:b/>
          <w:sz w:val="28"/>
          <w:szCs w:val="28"/>
        </w:rPr>
        <w:t xml:space="preserve">Пояснительная записка </w:t>
      </w:r>
    </w:p>
    <w:p w:rsidR="00E9414D" w:rsidRPr="0060032F" w:rsidRDefault="00E9414D" w:rsidP="004E67B5">
      <w:pPr>
        <w:jc w:val="center"/>
        <w:rPr>
          <w:sz w:val="28"/>
          <w:szCs w:val="28"/>
        </w:rPr>
      </w:pPr>
      <w:r w:rsidRPr="0060032F">
        <w:rPr>
          <w:sz w:val="28"/>
          <w:szCs w:val="28"/>
        </w:rPr>
        <w:t>к проекту бюджета муниципального образования</w:t>
      </w:r>
    </w:p>
    <w:p w:rsidR="00E9414D" w:rsidRPr="0060032F" w:rsidRDefault="00E9414D" w:rsidP="004E67B5">
      <w:pPr>
        <w:jc w:val="center"/>
        <w:rPr>
          <w:sz w:val="28"/>
          <w:szCs w:val="28"/>
        </w:rPr>
      </w:pPr>
      <w:r w:rsidRPr="0060032F">
        <w:rPr>
          <w:sz w:val="28"/>
          <w:szCs w:val="28"/>
        </w:rPr>
        <w:t>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 на 201</w:t>
      </w:r>
      <w:r w:rsidR="00A6154C">
        <w:rPr>
          <w:sz w:val="28"/>
          <w:szCs w:val="28"/>
        </w:rPr>
        <w:t>7</w:t>
      </w:r>
      <w:r w:rsidRPr="0060032F">
        <w:rPr>
          <w:sz w:val="28"/>
          <w:szCs w:val="28"/>
        </w:rPr>
        <w:t xml:space="preserve"> год и плановый период 201</w:t>
      </w:r>
      <w:r w:rsidR="00A6154C">
        <w:rPr>
          <w:sz w:val="28"/>
          <w:szCs w:val="28"/>
        </w:rPr>
        <w:t>8</w:t>
      </w:r>
      <w:r w:rsidRPr="0060032F">
        <w:rPr>
          <w:sz w:val="28"/>
          <w:szCs w:val="28"/>
        </w:rPr>
        <w:t xml:space="preserve"> и 201</w:t>
      </w:r>
      <w:r w:rsidR="00A6154C">
        <w:rPr>
          <w:sz w:val="28"/>
          <w:szCs w:val="28"/>
        </w:rPr>
        <w:t>9</w:t>
      </w:r>
      <w:r w:rsidRPr="0060032F">
        <w:rPr>
          <w:sz w:val="28"/>
          <w:szCs w:val="28"/>
        </w:rPr>
        <w:t xml:space="preserve"> годов</w:t>
      </w:r>
    </w:p>
    <w:p w:rsidR="00E9414D" w:rsidRPr="0060032F" w:rsidRDefault="00E9414D" w:rsidP="004E67B5">
      <w:pPr>
        <w:jc w:val="both"/>
        <w:rPr>
          <w:sz w:val="28"/>
          <w:szCs w:val="28"/>
        </w:rPr>
      </w:pPr>
    </w:p>
    <w:p w:rsidR="00E9414D" w:rsidRPr="0060032F" w:rsidRDefault="00E9414D" w:rsidP="004E6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0032F">
        <w:rPr>
          <w:b/>
          <w:sz w:val="28"/>
          <w:szCs w:val="28"/>
        </w:rPr>
        <w:t>Уважаемые депутаты!</w:t>
      </w:r>
    </w:p>
    <w:p w:rsidR="00A6154C" w:rsidRDefault="00A6154C" w:rsidP="00623EB2">
      <w:pPr>
        <w:jc w:val="both"/>
        <w:rPr>
          <w:sz w:val="28"/>
          <w:szCs w:val="28"/>
        </w:rPr>
      </w:pPr>
    </w:p>
    <w:p w:rsidR="00A6154C" w:rsidRDefault="00A6154C" w:rsidP="00A6154C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A1408C">
        <w:rPr>
          <w:sz w:val="28"/>
          <w:szCs w:val="28"/>
        </w:rPr>
        <w:t xml:space="preserve">Целью бюджетной политики </w:t>
      </w:r>
      <w:r>
        <w:rPr>
          <w:sz w:val="28"/>
          <w:szCs w:val="28"/>
        </w:rPr>
        <w:t xml:space="preserve">при формировании бюджета </w:t>
      </w:r>
      <w:r w:rsidRPr="00A1408C">
        <w:rPr>
          <w:sz w:val="28"/>
          <w:szCs w:val="28"/>
        </w:rPr>
        <w:t>МО «</w:t>
      </w:r>
      <w:r>
        <w:rPr>
          <w:sz w:val="28"/>
          <w:szCs w:val="28"/>
        </w:rPr>
        <w:t>Город Камызяк</w:t>
      </w:r>
      <w:r w:rsidRPr="00A1408C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Pr="00A140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 2018 и 2019 годов</w:t>
      </w:r>
      <w:r w:rsidRPr="00A14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08C">
        <w:rPr>
          <w:sz w:val="28"/>
          <w:szCs w:val="28"/>
        </w:rPr>
        <w:t>является описание основных подходов к его формированию и общего порядка разработки основных характеристик и прогнозируемых параметров бюджета МО «</w:t>
      </w:r>
      <w:r>
        <w:rPr>
          <w:sz w:val="28"/>
          <w:szCs w:val="28"/>
        </w:rPr>
        <w:t>Город Камызяк</w:t>
      </w:r>
      <w:r w:rsidRPr="00A1408C">
        <w:rPr>
          <w:sz w:val="28"/>
          <w:szCs w:val="28"/>
        </w:rPr>
        <w:t>», а также обеспечение прозрачности и открытости бюджетного планирования.</w:t>
      </w:r>
    </w:p>
    <w:p w:rsidR="00A6154C" w:rsidRDefault="00A6154C" w:rsidP="00A6154C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proofErr w:type="gramStart"/>
      <w:r w:rsidRPr="0060032F">
        <w:rPr>
          <w:sz w:val="28"/>
          <w:szCs w:val="28"/>
        </w:rPr>
        <w:t>Проект бюджета МО «</w:t>
      </w:r>
      <w:r>
        <w:rPr>
          <w:sz w:val="28"/>
          <w:szCs w:val="28"/>
        </w:rPr>
        <w:t>Город Камызяк» на 201</w:t>
      </w:r>
      <w:r w:rsidR="009A5383">
        <w:rPr>
          <w:sz w:val="28"/>
          <w:szCs w:val="28"/>
        </w:rPr>
        <w:t>7</w:t>
      </w:r>
      <w:r>
        <w:rPr>
          <w:sz w:val="28"/>
          <w:szCs w:val="28"/>
        </w:rPr>
        <w:t>-2019</w:t>
      </w:r>
      <w:r w:rsidRPr="0060032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9A5383">
        <w:rPr>
          <w:sz w:val="28"/>
          <w:szCs w:val="28"/>
        </w:rPr>
        <w:t xml:space="preserve"> </w:t>
      </w:r>
      <w:r w:rsidRPr="0060032F">
        <w:rPr>
          <w:sz w:val="28"/>
          <w:szCs w:val="28"/>
        </w:rPr>
        <w:t xml:space="preserve">сформирован в соответствии с действующим бюджетным законодательством Российской Федерации, на основе основных направлений </w:t>
      </w:r>
      <w:r>
        <w:rPr>
          <w:sz w:val="28"/>
          <w:szCs w:val="28"/>
        </w:rPr>
        <w:t xml:space="preserve">бюджетной </w:t>
      </w:r>
      <w:r w:rsidRPr="0060032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налоговой </w:t>
      </w:r>
      <w:r w:rsidRPr="0060032F">
        <w:rPr>
          <w:sz w:val="28"/>
          <w:szCs w:val="28"/>
        </w:rPr>
        <w:t>политики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9A5383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9A5383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годов</w:t>
      </w:r>
      <w:r w:rsidRPr="0060032F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распоряжением</w:t>
      </w:r>
      <w:r w:rsidRPr="0060032F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</w:t>
      </w:r>
      <w:r w:rsidR="00800615">
        <w:rPr>
          <w:sz w:val="28"/>
          <w:szCs w:val="28"/>
        </w:rPr>
        <w:t>и МО «Камызякский район» (№  445-р от 21.</w:t>
      </w:r>
      <w:r>
        <w:rPr>
          <w:sz w:val="28"/>
          <w:szCs w:val="28"/>
        </w:rPr>
        <w:t>10.201</w:t>
      </w:r>
      <w:r w:rsidR="00800615">
        <w:rPr>
          <w:sz w:val="28"/>
          <w:szCs w:val="28"/>
        </w:rPr>
        <w:t>6 г. и № 446-р от 21.10</w:t>
      </w:r>
      <w:r>
        <w:rPr>
          <w:sz w:val="28"/>
          <w:szCs w:val="28"/>
        </w:rPr>
        <w:t>.201</w:t>
      </w:r>
      <w:r w:rsidR="00800615">
        <w:rPr>
          <w:sz w:val="28"/>
          <w:szCs w:val="28"/>
        </w:rPr>
        <w:t>6</w:t>
      </w:r>
      <w:r>
        <w:rPr>
          <w:sz w:val="28"/>
          <w:szCs w:val="28"/>
        </w:rPr>
        <w:t xml:space="preserve"> г.).</w:t>
      </w:r>
      <w:proofErr w:type="gramEnd"/>
    </w:p>
    <w:p w:rsidR="00A6154C" w:rsidRDefault="00A6154C" w:rsidP="00A6154C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D17B6">
        <w:rPr>
          <w:sz w:val="28"/>
          <w:szCs w:val="28"/>
        </w:rPr>
        <w:t>Бюджетная политика сформирована с учетом положений посланий Президента Российской Федерации Федеральному Собранию Российской Федерации, указов Президента Российской Федерации от 07.05.2012 № 596 «О долгосрочной государственной экономической  политике», от 07.05.2012 № 597 «О мероприятиях по реализации государственной социальной политики», от 07.05.2012 № 601 «Об основных направлениях совершенствования системы государственного управления», Положения о бюджетном процессе в МО «Город Камызяк» (решение Совета МО «</w:t>
      </w:r>
      <w:r w:rsidR="00ED5992" w:rsidRPr="004D17B6">
        <w:rPr>
          <w:sz w:val="28"/>
          <w:szCs w:val="28"/>
        </w:rPr>
        <w:t>Город Камызяк</w:t>
      </w:r>
      <w:r w:rsidRPr="004D17B6">
        <w:rPr>
          <w:sz w:val="28"/>
          <w:szCs w:val="28"/>
        </w:rPr>
        <w:t>» от</w:t>
      </w:r>
      <w:proofErr w:type="gramEnd"/>
      <w:r w:rsidRPr="004D17B6">
        <w:rPr>
          <w:sz w:val="28"/>
          <w:szCs w:val="28"/>
        </w:rPr>
        <w:t xml:space="preserve"> 04.03.2015 № 2), Прогноза основных показателей социально-экономического развития МО «Город Камызяк» на 2016 год и на плановый период 2017-2018 годы» (постановление администрации МО «Камызя</w:t>
      </w:r>
      <w:r w:rsidR="002E6829">
        <w:rPr>
          <w:sz w:val="28"/>
          <w:szCs w:val="28"/>
        </w:rPr>
        <w:t>кский район» от 22.06.2016 № 675</w:t>
      </w:r>
      <w:r w:rsidRPr="004D17B6">
        <w:rPr>
          <w:sz w:val="28"/>
          <w:szCs w:val="28"/>
        </w:rPr>
        <w:t>).</w:t>
      </w:r>
    </w:p>
    <w:p w:rsidR="00E9414D" w:rsidRDefault="00E9414D" w:rsidP="004E67B5">
      <w:pPr>
        <w:ind w:firstLine="709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В представленном проекте бюджета предусмотрены следующие параметры бюджета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 на очередной финансовый год и плановый период.</w:t>
      </w:r>
    </w:p>
    <w:p w:rsidR="00E9414D" w:rsidRPr="0060032F" w:rsidRDefault="00E9414D" w:rsidP="004E67B5">
      <w:pPr>
        <w:ind w:firstLine="709"/>
        <w:jc w:val="both"/>
        <w:rPr>
          <w:sz w:val="28"/>
          <w:szCs w:val="28"/>
        </w:rPr>
      </w:pPr>
    </w:p>
    <w:p w:rsidR="00E9414D" w:rsidRPr="0060032F" w:rsidRDefault="000B5C1E" w:rsidP="000B5C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9414D" w:rsidRPr="0060032F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</w:t>
      </w:r>
      <w:r w:rsidR="00E9414D" w:rsidRPr="0060032F">
        <w:rPr>
          <w:sz w:val="28"/>
          <w:szCs w:val="28"/>
        </w:rPr>
        <w:t>1</w:t>
      </w:r>
    </w:p>
    <w:p w:rsidR="00E9414D" w:rsidRPr="00966A9F" w:rsidRDefault="00606875" w:rsidP="004E67B5">
      <w:pPr>
        <w:tabs>
          <w:tab w:val="left" w:pos="2025"/>
        </w:tabs>
        <w:ind w:firstLine="709"/>
        <w:jc w:val="right"/>
      </w:pPr>
      <w:r>
        <w:t xml:space="preserve">    </w:t>
      </w:r>
      <w:r w:rsidR="000B5C1E">
        <w:t xml:space="preserve"> </w:t>
      </w:r>
      <w:r w:rsidR="00E9414D" w:rsidRPr="00966A9F">
        <w:t>тыс. руб.</w:t>
      </w:r>
      <w:r w:rsidR="00E9414D" w:rsidRPr="00966A9F"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2"/>
        <w:gridCol w:w="1405"/>
        <w:gridCol w:w="1192"/>
        <w:gridCol w:w="1193"/>
        <w:gridCol w:w="1192"/>
        <w:gridCol w:w="1193"/>
        <w:gridCol w:w="1192"/>
        <w:gridCol w:w="1193"/>
      </w:tblGrid>
      <w:tr w:rsidR="00E9414D" w:rsidTr="001F455E">
        <w:trPr>
          <w:trHeight w:val="54"/>
        </w:trPr>
        <w:tc>
          <w:tcPr>
            <w:tcW w:w="1192" w:type="dxa"/>
            <w:vMerge w:val="restart"/>
          </w:tcPr>
          <w:p w:rsidR="00E9414D" w:rsidRDefault="00E9414D" w:rsidP="00A81DEB">
            <w:pPr>
              <w:jc w:val="center"/>
            </w:pPr>
          </w:p>
        </w:tc>
        <w:tc>
          <w:tcPr>
            <w:tcW w:w="1405" w:type="dxa"/>
            <w:vMerge w:val="restart"/>
          </w:tcPr>
          <w:p w:rsidR="00E9414D" w:rsidRPr="00DE5415" w:rsidRDefault="00E9414D" w:rsidP="006F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201</w:t>
            </w:r>
            <w:r w:rsidR="006F229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577" w:type="dxa"/>
            <w:gridSpan w:val="3"/>
          </w:tcPr>
          <w:p w:rsidR="00E9414D" w:rsidRPr="00DE5415" w:rsidRDefault="00E9414D" w:rsidP="00A81DEB">
            <w:pPr>
              <w:jc w:val="center"/>
              <w:rPr>
                <w:b/>
                <w:sz w:val="22"/>
                <w:szCs w:val="22"/>
              </w:rPr>
            </w:pPr>
            <w:r w:rsidRPr="00DE5415">
              <w:rPr>
                <w:b/>
                <w:sz w:val="22"/>
                <w:szCs w:val="22"/>
              </w:rPr>
              <w:t xml:space="preserve">Проект бюджета </w:t>
            </w:r>
            <w:proofErr w:type="gramStart"/>
            <w:r w:rsidRPr="00DE5415">
              <w:rPr>
                <w:b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193" w:type="dxa"/>
            <w:vMerge w:val="restart"/>
          </w:tcPr>
          <w:p w:rsidR="00E9414D" w:rsidRPr="00DE5415" w:rsidRDefault="00E9414D" w:rsidP="006F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201</w:t>
            </w:r>
            <w:r w:rsidR="006F229A">
              <w:rPr>
                <w:sz w:val="22"/>
                <w:szCs w:val="22"/>
              </w:rPr>
              <w:t>7г</w:t>
            </w:r>
            <w:proofErr w:type="gramStart"/>
            <w:r w:rsidR="006F229A">
              <w:rPr>
                <w:sz w:val="22"/>
                <w:szCs w:val="22"/>
              </w:rPr>
              <w:t>.к</w:t>
            </w:r>
            <w:proofErr w:type="gramEnd"/>
            <w:r w:rsidR="006F229A">
              <w:rPr>
                <w:sz w:val="22"/>
                <w:szCs w:val="22"/>
              </w:rPr>
              <w:t xml:space="preserve"> бюджету 2016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92" w:type="dxa"/>
            <w:vMerge w:val="restart"/>
          </w:tcPr>
          <w:p w:rsidR="00E9414D" w:rsidRPr="00DE5415" w:rsidRDefault="00E9414D" w:rsidP="006F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201</w:t>
            </w:r>
            <w:r w:rsidR="006F22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бюджету 201</w:t>
            </w:r>
            <w:r w:rsidR="006F22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93" w:type="dxa"/>
            <w:vMerge w:val="restart"/>
          </w:tcPr>
          <w:p w:rsidR="00E9414D" w:rsidRPr="00DE5415" w:rsidRDefault="00E9414D" w:rsidP="006F22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201</w:t>
            </w:r>
            <w:r w:rsidR="006F229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 бюджету 201</w:t>
            </w:r>
            <w:r w:rsidR="006F229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E9414D" w:rsidTr="001F455E">
        <w:trPr>
          <w:trHeight w:val="54"/>
        </w:trPr>
        <w:tc>
          <w:tcPr>
            <w:tcW w:w="1192" w:type="dxa"/>
            <w:vMerge/>
          </w:tcPr>
          <w:p w:rsidR="00E9414D" w:rsidRDefault="00E9414D" w:rsidP="001F455E">
            <w:pPr>
              <w:jc w:val="both"/>
            </w:pPr>
          </w:p>
        </w:tc>
        <w:tc>
          <w:tcPr>
            <w:tcW w:w="1405" w:type="dxa"/>
            <w:vMerge/>
          </w:tcPr>
          <w:p w:rsidR="00E9414D" w:rsidRDefault="00E9414D" w:rsidP="001F455E">
            <w:pPr>
              <w:jc w:val="both"/>
            </w:pPr>
          </w:p>
        </w:tc>
        <w:tc>
          <w:tcPr>
            <w:tcW w:w="1192" w:type="dxa"/>
          </w:tcPr>
          <w:p w:rsidR="00E9414D" w:rsidRDefault="00E9414D" w:rsidP="00A81DEB">
            <w:pPr>
              <w:jc w:val="center"/>
              <w:rPr>
                <w:b/>
              </w:rPr>
            </w:pPr>
          </w:p>
          <w:p w:rsidR="00E9414D" w:rsidRPr="006816DC" w:rsidRDefault="00E9414D" w:rsidP="006F229A">
            <w:pPr>
              <w:jc w:val="center"/>
              <w:rPr>
                <w:b/>
              </w:rPr>
            </w:pPr>
            <w:r w:rsidRPr="006816DC">
              <w:rPr>
                <w:b/>
              </w:rPr>
              <w:t>201</w:t>
            </w:r>
            <w:r w:rsidR="006F229A">
              <w:rPr>
                <w:b/>
              </w:rPr>
              <w:t>7</w:t>
            </w:r>
          </w:p>
        </w:tc>
        <w:tc>
          <w:tcPr>
            <w:tcW w:w="1193" w:type="dxa"/>
          </w:tcPr>
          <w:p w:rsidR="00E9414D" w:rsidRDefault="00E9414D" w:rsidP="00A81DEB">
            <w:pPr>
              <w:jc w:val="center"/>
              <w:rPr>
                <w:b/>
              </w:rPr>
            </w:pPr>
          </w:p>
          <w:p w:rsidR="00E9414D" w:rsidRPr="006816DC" w:rsidRDefault="00E9414D" w:rsidP="006F229A">
            <w:pPr>
              <w:jc w:val="center"/>
              <w:rPr>
                <w:b/>
              </w:rPr>
            </w:pPr>
            <w:r w:rsidRPr="006816DC">
              <w:rPr>
                <w:b/>
              </w:rPr>
              <w:t>201</w:t>
            </w:r>
            <w:r w:rsidR="006F229A">
              <w:rPr>
                <w:b/>
              </w:rPr>
              <w:t>8</w:t>
            </w:r>
          </w:p>
        </w:tc>
        <w:tc>
          <w:tcPr>
            <w:tcW w:w="1192" w:type="dxa"/>
          </w:tcPr>
          <w:p w:rsidR="00E9414D" w:rsidRDefault="00E9414D" w:rsidP="00A81DEB">
            <w:pPr>
              <w:jc w:val="center"/>
              <w:rPr>
                <w:b/>
              </w:rPr>
            </w:pPr>
          </w:p>
          <w:p w:rsidR="00E9414D" w:rsidRPr="006816DC" w:rsidRDefault="00E9414D" w:rsidP="006F229A">
            <w:pPr>
              <w:jc w:val="center"/>
              <w:rPr>
                <w:b/>
              </w:rPr>
            </w:pPr>
            <w:r w:rsidRPr="006816DC">
              <w:rPr>
                <w:b/>
              </w:rPr>
              <w:t>201</w:t>
            </w:r>
            <w:r w:rsidR="006F229A">
              <w:rPr>
                <w:b/>
              </w:rPr>
              <w:t>9</w:t>
            </w:r>
          </w:p>
        </w:tc>
        <w:tc>
          <w:tcPr>
            <w:tcW w:w="1193" w:type="dxa"/>
            <w:vMerge/>
          </w:tcPr>
          <w:p w:rsidR="00E9414D" w:rsidRDefault="00E9414D" w:rsidP="001F455E">
            <w:pPr>
              <w:jc w:val="both"/>
            </w:pPr>
          </w:p>
        </w:tc>
        <w:tc>
          <w:tcPr>
            <w:tcW w:w="1192" w:type="dxa"/>
            <w:vMerge/>
          </w:tcPr>
          <w:p w:rsidR="00E9414D" w:rsidRDefault="00E9414D" w:rsidP="001F455E">
            <w:pPr>
              <w:jc w:val="both"/>
            </w:pPr>
          </w:p>
        </w:tc>
        <w:tc>
          <w:tcPr>
            <w:tcW w:w="1193" w:type="dxa"/>
            <w:vMerge/>
          </w:tcPr>
          <w:p w:rsidR="00E9414D" w:rsidRDefault="00E9414D" w:rsidP="001F455E">
            <w:pPr>
              <w:jc w:val="both"/>
            </w:pPr>
          </w:p>
        </w:tc>
      </w:tr>
      <w:tr w:rsidR="00E9414D" w:rsidTr="001F455E">
        <w:trPr>
          <w:trHeight w:val="530"/>
        </w:trPr>
        <w:tc>
          <w:tcPr>
            <w:tcW w:w="1192" w:type="dxa"/>
          </w:tcPr>
          <w:p w:rsidR="00E9414D" w:rsidRDefault="00E9414D" w:rsidP="001F455E">
            <w:pPr>
              <w:jc w:val="both"/>
            </w:pPr>
            <w:r>
              <w:t>Доходы</w:t>
            </w:r>
          </w:p>
        </w:tc>
        <w:tc>
          <w:tcPr>
            <w:tcW w:w="1405" w:type="dxa"/>
          </w:tcPr>
          <w:p w:rsidR="00E9414D" w:rsidRDefault="00232280" w:rsidP="00A81DEB">
            <w:pPr>
              <w:jc w:val="center"/>
            </w:pPr>
            <w:r>
              <w:t>46209,9</w:t>
            </w:r>
          </w:p>
        </w:tc>
        <w:tc>
          <w:tcPr>
            <w:tcW w:w="1192" w:type="dxa"/>
          </w:tcPr>
          <w:p w:rsidR="00E9414D" w:rsidRDefault="00232280" w:rsidP="00A81DEB">
            <w:pPr>
              <w:jc w:val="center"/>
            </w:pPr>
            <w:r>
              <w:t>44251,2</w:t>
            </w:r>
          </w:p>
        </w:tc>
        <w:tc>
          <w:tcPr>
            <w:tcW w:w="1193" w:type="dxa"/>
          </w:tcPr>
          <w:p w:rsidR="00E9414D" w:rsidRDefault="00232280" w:rsidP="00A81DEB">
            <w:pPr>
              <w:jc w:val="center"/>
            </w:pPr>
            <w:r>
              <w:t>44728,2</w:t>
            </w:r>
          </w:p>
        </w:tc>
        <w:tc>
          <w:tcPr>
            <w:tcW w:w="1192" w:type="dxa"/>
          </w:tcPr>
          <w:p w:rsidR="00E9414D" w:rsidRDefault="0056595C" w:rsidP="00A81DEB">
            <w:pPr>
              <w:jc w:val="center"/>
            </w:pPr>
            <w:r>
              <w:t>45463,4</w:t>
            </w:r>
          </w:p>
        </w:tc>
        <w:tc>
          <w:tcPr>
            <w:tcW w:w="1193" w:type="dxa"/>
          </w:tcPr>
          <w:p w:rsidR="00E9414D" w:rsidRDefault="000B5C1E" w:rsidP="007310F6">
            <w:pPr>
              <w:jc w:val="center"/>
            </w:pPr>
            <w:r>
              <w:t>95,8</w:t>
            </w:r>
            <w:r w:rsidR="00E9414D">
              <w:t>%</w:t>
            </w:r>
          </w:p>
        </w:tc>
        <w:tc>
          <w:tcPr>
            <w:tcW w:w="1192" w:type="dxa"/>
          </w:tcPr>
          <w:p w:rsidR="00E9414D" w:rsidRDefault="000B5C1E" w:rsidP="007310F6">
            <w:pPr>
              <w:jc w:val="center"/>
            </w:pPr>
            <w:r>
              <w:t>101,7</w:t>
            </w:r>
            <w:r w:rsidR="00E9414D">
              <w:t>%</w:t>
            </w:r>
          </w:p>
        </w:tc>
        <w:tc>
          <w:tcPr>
            <w:tcW w:w="1193" w:type="dxa"/>
          </w:tcPr>
          <w:p w:rsidR="00E9414D" w:rsidRDefault="000B5C1E" w:rsidP="007310F6">
            <w:pPr>
              <w:jc w:val="center"/>
            </w:pPr>
            <w:r>
              <w:t>101,6</w:t>
            </w:r>
            <w:r w:rsidR="00E9414D">
              <w:t xml:space="preserve"> %</w:t>
            </w:r>
          </w:p>
        </w:tc>
      </w:tr>
      <w:tr w:rsidR="00E9414D" w:rsidTr="001F455E">
        <w:trPr>
          <w:trHeight w:val="551"/>
        </w:trPr>
        <w:tc>
          <w:tcPr>
            <w:tcW w:w="1192" w:type="dxa"/>
          </w:tcPr>
          <w:p w:rsidR="00E9414D" w:rsidRPr="006F6C7D" w:rsidRDefault="00E9414D" w:rsidP="001F455E">
            <w:pPr>
              <w:jc w:val="both"/>
            </w:pPr>
            <w:r w:rsidRPr="006F6C7D">
              <w:t>Расходы</w:t>
            </w:r>
          </w:p>
        </w:tc>
        <w:tc>
          <w:tcPr>
            <w:tcW w:w="1405" w:type="dxa"/>
          </w:tcPr>
          <w:p w:rsidR="00E9414D" w:rsidRPr="006F6C7D" w:rsidRDefault="00232280" w:rsidP="00A81DEB">
            <w:pPr>
              <w:jc w:val="center"/>
            </w:pPr>
            <w:r>
              <w:t>54467,7</w:t>
            </w:r>
          </w:p>
        </w:tc>
        <w:tc>
          <w:tcPr>
            <w:tcW w:w="1192" w:type="dxa"/>
          </w:tcPr>
          <w:p w:rsidR="00E9414D" w:rsidRPr="0056595C" w:rsidRDefault="00232280" w:rsidP="00A81DEB">
            <w:pPr>
              <w:jc w:val="center"/>
            </w:pPr>
            <w:r w:rsidRPr="0056595C">
              <w:t>47436,5</w:t>
            </w:r>
          </w:p>
        </w:tc>
        <w:tc>
          <w:tcPr>
            <w:tcW w:w="1193" w:type="dxa"/>
          </w:tcPr>
          <w:p w:rsidR="00E9414D" w:rsidRPr="006F6C7D" w:rsidRDefault="0056595C" w:rsidP="00232280">
            <w:pPr>
              <w:jc w:val="center"/>
            </w:pPr>
            <w:r>
              <w:t>47961,2</w:t>
            </w:r>
          </w:p>
        </w:tc>
        <w:tc>
          <w:tcPr>
            <w:tcW w:w="1192" w:type="dxa"/>
          </w:tcPr>
          <w:p w:rsidR="00E9414D" w:rsidRPr="006F6C7D" w:rsidRDefault="0056595C" w:rsidP="00232280">
            <w:pPr>
              <w:jc w:val="center"/>
            </w:pPr>
            <w:r>
              <w:t>48328,8</w:t>
            </w:r>
          </w:p>
        </w:tc>
        <w:tc>
          <w:tcPr>
            <w:tcW w:w="1193" w:type="dxa"/>
          </w:tcPr>
          <w:p w:rsidR="00E9414D" w:rsidRPr="00043983" w:rsidRDefault="000B5C1E" w:rsidP="000B5C1E">
            <w:pPr>
              <w:jc w:val="center"/>
            </w:pPr>
            <w:r>
              <w:t>87,1</w:t>
            </w:r>
            <w:r w:rsidR="00E9414D">
              <w:t>%</w:t>
            </w:r>
          </w:p>
        </w:tc>
        <w:tc>
          <w:tcPr>
            <w:tcW w:w="1192" w:type="dxa"/>
          </w:tcPr>
          <w:p w:rsidR="00E9414D" w:rsidRPr="00043983" w:rsidRDefault="000B5C1E" w:rsidP="000B5C1E">
            <w:pPr>
              <w:jc w:val="center"/>
            </w:pPr>
            <w:r>
              <w:t>101,1</w:t>
            </w:r>
            <w:r w:rsidR="00E9414D" w:rsidRPr="00043983">
              <w:t>%</w:t>
            </w:r>
          </w:p>
        </w:tc>
        <w:tc>
          <w:tcPr>
            <w:tcW w:w="1193" w:type="dxa"/>
          </w:tcPr>
          <w:p w:rsidR="00E9414D" w:rsidRPr="00043983" w:rsidRDefault="008473A0" w:rsidP="000B5C1E">
            <w:pPr>
              <w:jc w:val="center"/>
            </w:pPr>
            <w:r>
              <w:t>100,8</w:t>
            </w:r>
            <w:r w:rsidR="00E9414D" w:rsidRPr="00043983">
              <w:t>%</w:t>
            </w:r>
          </w:p>
        </w:tc>
      </w:tr>
      <w:tr w:rsidR="00E9414D" w:rsidTr="001F455E">
        <w:trPr>
          <w:trHeight w:val="557"/>
        </w:trPr>
        <w:tc>
          <w:tcPr>
            <w:tcW w:w="1192" w:type="dxa"/>
          </w:tcPr>
          <w:p w:rsidR="00E9414D" w:rsidRPr="006F6C7D" w:rsidRDefault="00E9414D" w:rsidP="001F455E">
            <w:pPr>
              <w:jc w:val="both"/>
            </w:pPr>
            <w:r w:rsidRPr="006F6C7D">
              <w:t>Дефицит</w:t>
            </w:r>
          </w:p>
        </w:tc>
        <w:tc>
          <w:tcPr>
            <w:tcW w:w="1405" w:type="dxa"/>
          </w:tcPr>
          <w:p w:rsidR="00E9414D" w:rsidRPr="006F6C7D" w:rsidRDefault="00232280" w:rsidP="00A81DEB">
            <w:pPr>
              <w:jc w:val="center"/>
            </w:pPr>
            <w:r>
              <w:t>8257,7</w:t>
            </w:r>
          </w:p>
        </w:tc>
        <w:tc>
          <w:tcPr>
            <w:tcW w:w="1192" w:type="dxa"/>
          </w:tcPr>
          <w:p w:rsidR="00E9414D" w:rsidRPr="0056595C" w:rsidRDefault="00232280" w:rsidP="00A81DEB">
            <w:pPr>
              <w:jc w:val="center"/>
            </w:pPr>
            <w:r w:rsidRPr="0056595C">
              <w:t>3185,3</w:t>
            </w:r>
          </w:p>
        </w:tc>
        <w:tc>
          <w:tcPr>
            <w:tcW w:w="1193" w:type="dxa"/>
          </w:tcPr>
          <w:p w:rsidR="00E9414D" w:rsidRPr="006F6C7D" w:rsidRDefault="0056595C" w:rsidP="00232280">
            <w:pPr>
              <w:jc w:val="center"/>
            </w:pPr>
            <w:r>
              <w:t>3233,0</w:t>
            </w:r>
          </w:p>
        </w:tc>
        <w:tc>
          <w:tcPr>
            <w:tcW w:w="1192" w:type="dxa"/>
          </w:tcPr>
          <w:p w:rsidR="00E9414D" w:rsidRPr="006F6C7D" w:rsidRDefault="0056595C" w:rsidP="00232280">
            <w:pPr>
              <w:jc w:val="center"/>
            </w:pPr>
            <w:r>
              <w:t>3306,6</w:t>
            </w:r>
          </w:p>
        </w:tc>
        <w:tc>
          <w:tcPr>
            <w:tcW w:w="1193" w:type="dxa"/>
          </w:tcPr>
          <w:p w:rsidR="00E9414D" w:rsidRPr="00043983" w:rsidRDefault="00A95D97" w:rsidP="007310F6">
            <w:pPr>
              <w:jc w:val="center"/>
            </w:pPr>
            <w:r>
              <w:t>38,6</w:t>
            </w:r>
            <w:r w:rsidR="00E9414D">
              <w:t>%</w:t>
            </w:r>
          </w:p>
        </w:tc>
        <w:tc>
          <w:tcPr>
            <w:tcW w:w="1192" w:type="dxa"/>
          </w:tcPr>
          <w:p w:rsidR="00E9414D" w:rsidRPr="00043983" w:rsidRDefault="00A95D97" w:rsidP="007310F6">
            <w:pPr>
              <w:jc w:val="center"/>
            </w:pPr>
            <w:r>
              <w:t>101,5</w:t>
            </w:r>
            <w:r w:rsidR="00E9414D" w:rsidRPr="00043983">
              <w:t>%</w:t>
            </w:r>
          </w:p>
        </w:tc>
        <w:tc>
          <w:tcPr>
            <w:tcW w:w="1193" w:type="dxa"/>
          </w:tcPr>
          <w:p w:rsidR="00E9414D" w:rsidRPr="00043983" w:rsidRDefault="00A95D97" w:rsidP="007310F6">
            <w:pPr>
              <w:jc w:val="center"/>
            </w:pPr>
            <w:r>
              <w:t>102,3</w:t>
            </w:r>
            <w:r w:rsidR="00E9414D" w:rsidRPr="00043983">
              <w:t>%</w:t>
            </w:r>
          </w:p>
        </w:tc>
      </w:tr>
    </w:tbl>
    <w:p w:rsidR="00455DC2" w:rsidRDefault="00455DC2" w:rsidP="004E67B5">
      <w:pPr>
        <w:ind w:firstLine="720"/>
        <w:jc w:val="both"/>
        <w:rPr>
          <w:sz w:val="28"/>
          <w:szCs w:val="28"/>
        </w:rPr>
      </w:pPr>
    </w:p>
    <w:p w:rsidR="00E9414D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Доходы бюджета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 на 201</w:t>
      </w:r>
      <w:r w:rsidR="004101CE">
        <w:rPr>
          <w:sz w:val="28"/>
          <w:szCs w:val="28"/>
        </w:rPr>
        <w:t>7</w:t>
      </w:r>
      <w:r w:rsidRPr="0060032F">
        <w:rPr>
          <w:sz w:val="28"/>
          <w:szCs w:val="28"/>
        </w:rPr>
        <w:t xml:space="preserve"> – 201</w:t>
      </w:r>
      <w:r w:rsidR="004101CE">
        <w:rPr>
          <w:sz w:val="28"/>
          <w:szCs w:val="28"/>
        </w:rPr>
        <w:t>9</w:t>
      </w:r>
      <w:r w:rsidRPr="0060032F">
        <w:rPr>
          <w:sz w:val="28"/>
          <w:szCs w:val="28"/>
        </w:rPr>
        <w:t xml:space="preserve"> годы, рассчитывались с учетом налогового законодательства, действующего на момент составления проекта бюджета.</w:t>
      </w:r>
    </w:p>
    <w:p w:rsidR="006E7656" w:rsidRPr="0060032F" w:rsidRDefault="006E7656" w:rsidP="006E7656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A1408C">
        <w:rPr>
          <w:sz w:val="28"/>
          <w:szCs w:val="28"/>
        </w:rPr>
        <w:t xml:space="preserve">Основными целями налоговой политики являются сохранение бюджетной устойчивости, увеличение налогового потенциала </w:t>
      </w:r>
      <w:r>
        <w:rPr>
          <w:sz w:val="28"/>
          <w:szCs w:val="28"/>
        </w:rPr>
        <w:t xml:space="preserve">МО «Город Камызяк» </w:t>
      </w:r>
      <w:r w:rsidRPr="00A1408C">
        <w:rPr>
          <w:sz w:val="28"/>
          <w:szCs w:val="28"/>
        </w:rPr>
        <w:t xml:space="preserve">посредством стимулирования развития новых производств, поддержки инвестиционной активности хозяйствующих субъектов, реализация мер, </w:t>
      </w:r>
      <w:r w:rsidRPr="00A1408C">
        <w:rPr>
          <w:sz w:val="28"/>
          <w:szCs w:val="28"/>
        </w:rPr>
        <w:lastRenderedPageBreak/>
        <w:t>направленных на повышение собираемости налогов и сборов, снижение масштабов уклонения от уплаты налогов.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 xml:space="preserve">В основу расчетов поступления </w:t>
      </w:r>
      <w:r w:rsidRPr="00220356">
        <w:rPr>
          <w:sz w:val="28"/>
          <w:szCs w:val="28"/>
        </w:rPr>
        <w:t>доходов</w:t>
      </w:r>
      <w:r w:rsidRPr="0060032F">
        <w:rPr>
          <w:sz w:val="28"/>
          <w:szCs w:val="28"/>
        </w:rPr>
        <w:t xml:space="preserve"> на очередной финансовый год и плановый период были положены: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- изменения в Налоговом и Бюджетном кодексах и других законодательных актах;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-  прогнозные данные по социально-экономическому развитию территории;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- фактически сложившиеся тенденции по собираемости налогов в динамике за ряд предшествующих лет;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Динамика прогноза поступлений налоговых и неналоговых доходов за 201</w:t>
      </w:r>
      <w:r w:rsidR="004101CE">
        <w:rPr>
          <w:sz w:val="28"/>
          <w:szCs w:val="28"/>
        </w:rPr>
        <w:t>6</w:t>
      </w:r>
      <w:r w:rsidRPr="0060032F">
        <w:rPr>
          <w:sz w:val="28"/>
          <w:szCs w:val="28"/>
        </w:rPr>
        <w:t xml:space="preserve"> год и прогнозных назначений на 201</w:t>
      </w:r>
      <w:r w:rsidR="004101CE">
        <w:rPr>
          <w:sz w:val="28"/>
          <w:szCs w:val="28"/>
        </w:rPr>
        <w:t>7</w:t>
      </w:r>
      <w:r w:rsidRPr="0060032F">
        <w:rPr>
          <w:sz w:val="28"/>
          <w:szCs w:val="28"/>
        </w:rPr>
        <w:t xml:space="preserve"> год и на плановый п</w:t>
      </w:r>
      <w:r w:rsidR="004101CE">
        <w:rPr>
          <w:sz w:val="28"/>
          <w:szCs w:val="28"/>
        </w:rPr>
        <w:t>ериод 2018</w:t>
      </w:r>
      <w:r w:rsidRPr="0060032F">
        <w:rPr>
          <w:sz w:val="28"/>
          <w:szCs w:val="28"/>
        </w:rPr>
        <w:t xml:space="preserve"> и 201</w:t>
      </w:r>
      <w:r w:rsidR="004101CE">
        <w:rPr>
          <w:sz w:val="28"/>
          <w:szCs w:val="28"/>
        </w:rPr>
        <w:t>9</w:t>
      </w:r>
      <w:r w:rsidRPr="0060032F">
        <w:rPr>
          <w:sz w:val="28"/>
          <w:szCs w:val="28"/>
        </w:rPr>
        <w:t xml:space="preserve"> годов представлена в таблице </w:t>
      </w:r>
      <w:r w:rsidR="004101CE">
        <w:rPr>
          <w:sz w:val="28"/>
          <w:szCs w:val="28"/>
        </w:rPr>
        <w:t xml:space="preserve">№ </w:t>
      </w:r>
      <w:r w:rsidRPr="0060032F">
        <w:rPr>
          <w:sz w:val="28"/>
          <w:szCs w:val="28"/>
        </w:rPr>
        <w:t>2: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</w:p>
    <w:p w:rsidR="00E9414D" w:rsidRPr="0060032F" w:rsidRDefault="00E9414D" w:rsidP="0060032F">
      <w:pPr>
        <w:jc w:val="center"/>
        <w:rPr>
          <w:bCs/>
          <w:sz w:val="28"/>
          <w:szCs w:val="28"/>
        </w:rPr>
      </w:pPr>
      <w:r w:rsidRPr="0060032F">
        <w:rPr>
          <w:bCs/>
          <w:sz w:val="28"/>
          <w:szCs w:val="28"/>
        </w:rPr>
        <w:t>Динамика объема налоговы</w:t>
      </w:r>
      <w:r>
        <w:rPr>
          <w:bCs/>
          <w:sz w:val="28"/>
          <w:szCs w:val="28"/>
        </w:rPr>
        <w:t>х и неналоговых доходов в 201</w:t>
      </w:r>
      <w:r w:rsidR="0063109E">
        <w:rPr>
          <w:bCs/>
          <w:sz w:val="28"/>
          <w:szCs w:val="28"/>
        </w:rPr>
        <w:t>6</w:t>
      </w:r>
      <w:r w:rsidRPr="0060032F">
        <w:rPr>
          <w:bCs/>
          <w:sz w:val="28"/>
          <w:szCs w:val="28"/>
        </w:rPr>
        <w:t>-201</w:t>
      </w:r>
      <w:r w:rsidR="0063109E">
        <w:rPr>
          <w:bCs/>
          <w:sz w:val="28"/>
          <w:szCs w:val="28"/>
        </w:rPr>
        <w:t>9</w:t>
      </w:r>
      <w:r w:rsidRPr="0060032F">
        <w:rPr>
          <w:bCs/>
          <w:sz w:val="28"/>
          <w:szCs w:val="28"/>
        </w:rPr>
        <w:t xml:space="preserve"> гг.</w:t>
      </w:r>
    </w:p>
    <w:p w:rsidR="00E9414D" w:rsidRPr="00136B5E" w:rsidRDefault="00E9414D" w:rsidP="004E67B5">
      <w:pPr>
        <w:ind w:firstLine="720"/>
        <w:jc w:val="both"/>
      </w:pPr>
    </w:p>
    <w:p w:rsidR="00E9414D" w:rsidRPr="0060032F" w:rsidRDefault="00606875" w:rsidP="00606875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E9414D" w:rsidRPr="0060032F">
        <w:rPr>
          <w:bCs/>
          <w:sz w:val="28"/>
          <w:szCs w:val="28"/>
        </w:rPr>
        <w:t xml:space="preserve">Таблица </w:t>
      </w:r>
      <w:r w:rsidR="004101CE">
        <w:rPr>
          <w:bCs/>
          <w:sz w:val="28"/>
          <w:szCs w:val="28"/>
        </w:rPr>
        <w:t xml:space="preserve">№ </w:t>
      </w:r>
      <w:r w:rsidR="00E9414D" w:rsidRPr="0060032F">
        <w:rPr>
          <w:bCs/>
          <w:sz w:val="28"/>
          <w:szCs w:val="28"/>
        </w:rPr>
        <w:t>2</w:t>
      </w:r>
    </w:p>
    <w:p w:rsidR="00E9414D" w:rsidRPr="00136B5E" w:rsidRDefault="00606875" w:rsidP="00606875">
      <w:pPr>
        <w:ind w:firstLine="720"/>
        <w:jc w:val="center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414D">
        <w:t>тыс</w:t>
      </w:r>
      <w:r w:rsidR="004B28EE">
        <w:t>. руб.</w:t>
      </w:r>
      <w:r w:rsidR="00E9414D">
        <w:t xml:space="preserve">   </w:t>
      </w:r>
    </w:p>
    <w:tbl>
      <w:tblPr>
        <w:tblW w:w="9758" w:type="dxa"/>
        <w:tblInd w:w="250" w:type="dxa"/>
        <w:tblLayout w:type="fixed"/>
        <w:tblLook w:val="0000"/>
      </w:tblPr>
      <w:tblGrid>
        <w:gridCol w:w="1701"/>
        <w:gridCol w:w="1276"/>
        <w:gridCol w:w="1134"/>
        <w:gridCol w:w="1134"/>
        <w:gridCol w:w="1228"/>
        <w:gridCol w:w="1134"/>
        <w:gridCol w:w="1251"/>
        <w:gridCol w:w="900"/>
      </w:tblGrid>
      <w:tr w:rsidR="00E9414D" w:rsidRPr="00136B5E" w:rsidTr="00220356">
        <w:trPr>
          <w:trHeight w:val="2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jc w:val="center"/>
            </w:pPr>
            <w:r w:rsidRPr="00136B5E"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6</w:t>
            </w:r>
            <w:r w:rsidRPr="00136B5E">
              <w:t xml:space="preserve"> год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7</w:t>
            </w:r>
            <w:r w:rsidRPr="00136B5E">
              <w:t xml:space="preserve"> год 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8</w:t>
            </w:r>
            <w:r w:rsidRPr="00136B5E">
              <w:t xml:space="preserve"> год прогноз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9</w:t>
            </w:r>
            <w:r w:rsidRPr="00136B5E">
              <w:t xml:space="preserve"> год прогноз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  <w:r w:rsidRPr="00136B5E">
              <w:t>Соотношение (</w:t>
            </w:r>
            <w:proofErr w:type="gramStart"/>
            <w:r w:rsidRPr="00136B5E">
              <w:t>в</w:t>
            </w:r>
            <w:proofErr w:type="gramEnd"/>
            <w:r w:rsidRPr="00136B5E">
              <w:t xml:space="preserve"> %)</w:t>
            </w:r>
          </w:p>
        </w:tc>
      </w:tr>
      <w:tr w:rsidR="00E9414D" w:rsidRPr="00136B5E" w:rsidTr="00220356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7</w:t>
            </w:r>
            <w:r w:rsidRPr="00136B5E">
              <w:t xml:space="preserve"> к 201</w:t>
            </w:r>
            <w:r w:rsidR="00AB23BB">
              <w:t>6</w:t>
            </w:r>
            <w:r w:rsidRPr="00136B5E">
              <w:t xml:space="preserve"> г.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8</w:t>
            </w:r>
            <w:r w:rsidRPr="00136B5E">
              <w:t xml:space="preserve"> к  201</w:t>
            </w:r>
            <w:r w:rsidR="00AB23BB">
              <w:t>7</w:t>
            </w:r>
            <w:r w:rsidRPr="00136B5E">
              <w:t xml:space="preserve"> г.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AB23BB">
            <w:pPr>
              <w:jc w:val="center"/>
            </w:pPr>
            <w:r w:rsidRPr="00136B5E">
              <w:t>201</w:t>
            </w:r>
            <w:r w:rsidR="00AB23BB">
              <w:t>9</w:t>
            </w:r>
            <w:r w:rsidRPr="00136B5E">
              <w:t xml:space="preserve"> к 201</w:t>
            </w:r>
            <w:r w:rsidR="00AB23BB">
              <w:t>8</w:t>
            </w:r>
            <w:r w:rsidRPr="00136B5E">
              <w:t xml:space="preserve"> г.</w:t>
            </w:r>
          </w:p>
        </w:tc>
      </w:tr>
      <w:tr w:rsidR="00E9414D" w:rsidRPr="00136B5E" w:rsidTr="00220356">
        <w:trPr>
          <w:trHeight w:val="6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E9414D" w:rsidP="00824305">
            <w:pPr>
              <w:ind w:firstLine="720"/>
              <w:jc w:val="center"/>
            </w:pPr>
          </w:p>
        </w:tc>
      </w:tr>
      <w:tr w:rsidR="00E9414D" w:rsidRPr="00136B5E" w:rsidTr="008D7439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4D" w:rsidRPr="00136B5E" w:rsidRDefault="00E9414D" w:rsidP="00824305">
            <w:pPr>
              <w:jc w:val="center"/>
            </w:pPr>
            <w:r>
              <w:rPr>
                <w:iCs/>
              </w:rPr>
              <w:t>Бюджет МО «Город Камызяк»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AB23BB" w:rsidP="008D7439">
            <w:pPr>
              <w:jc w:val="center"/>
              <w:rPr>
                <w:bCs/>
              </w:rPr>
            </w:pPr>
            <w:r>
              <w:rPr>
                <w:bCs/>
              </w:rPr>
              <w:t>31758,5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AB23BB" w:rsidP="008D7439">
            <w:pPr>
              <w:jc w:val="center"/>
            </w:pPr>
            <w:r>
              <w:t>31853,5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AB23BB" w:rsidP="008D7439">
            <w:pPr>
              <w:jc w:val="center"/>
            </w:pPr>
            <w:r>
              <w:t>32330,5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AB23BB" w:rsidP="008D7439">
            <w:pPr>
              <w:jc w:val="center"/>
            </w:pPr>
            <w:r>
              <w:t>33065,7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AB23BB" w:rsidP="008D7439">
            <w:pPr>
              <w:jc w:val="center"/>
            </w:pPr>
            <w:r>
              <w:t>100,3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F04B2F" w:rsidP="008D7439">
            <w:pPr>
              <w:jc w:val="center"/>
            </w:pPr>
            <w:r>
              <w:t>101,5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14D" w:rsidRPr="00136B5E" w:rsidRDefault="00F04B2F" w:rsidP="008D7439">
            <w:pPr>
              <w:jc w:val="center"/>
            </w:pPr>
            <w:r>
              <w:t>102,3</w:t>
            </w:r>
          </w:p>
        </w:tc>
      </w:tr>
    </w:tbl>
    <w:p w:rsidR="00E9414D" w:rsidRDefault="00E9414D" w:rsidP="004E67B5">
      <w:pPr>
        <w:ind w:firstLine="720"/>
        <w:jc w:val="both"/>
      </w:pPr>
    </w:p>
    <w:p w:rsidR="00BC3198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Рассматривая соотношение прогнозируемых собственных доходов бюджета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 на 201</w:t>
      </w:r>
      <w:r w:rsidR="00BC3198">
        <w:rPr>
          <w:sz w:val="28"/>
          <w:szCs w:val="28"/>
        </w:rPr>
        <w:t>7</w:t>
      </w:r>
      <w:r w:rsidRPr="0060032F">
        <w:rPr>
          <w:sz w:val="28"/>
          <w:szCs w:val="28"/>
        </w:rPr>
        <w:t xml:space="preserve"> год к прогнозу налоговых и неналого</w:t>
      </w:r>
      <w:r>
        <w:rPr>
          <w:sz w:val="28"/>
          <w:szCs w:val="28"/>
        </w:rPr>
        <w:t>вых доходов в 201</w:t>
      </w:r>
      <w:r w:rsidR="00BC3198">
        <w:rPr>
          <w:sz w:val="28"/>
          <w:szCs w:val="28"/>
        </w:rPr>
        <w:t>6</w:t>
      </w:r>
      <w:r>
        <w:rPr>
          <w:sz w:val="28"/>
          <w:szCs w:val="28"/>
        </w:rPr>
        <w:t xml:space="preserve"> году (</w:t>
      </w:r>
      <w:r w:rsidR="00BC3198">
        <w:rPr>
          <w:sz w:val="28"/>
          <w:szCs w:val="28"/>
        </w:rPr>
        <w:t xml:space="preserve">31758,5 </w:t>
      </w:r>
      <w:r w:rsidRPr="0060032F">
        <w:rPr>
          <w:sz w:val="28"/>
          <w:szCs w:val="28"/>
        </w:rPr>
        <w:t>тыс.</w:t>
      </w:r>
      <w:r w:rsidR="007F30CA">
        <w:rPr>
          <w:sz w:val="28"/>
          <w:szCs w:val="28"/>
        </w:rPr>
        <w:t xml:space="preserve"> </w:t>
      </w:r>
      <w:r w:rsidRPr="0060032F">
        <w:rPr>
          <w:sz w:val="28"/>
          <w:szCs w:val="28"/>
        </w:rPr>
        <w:t>р</w:t>
      </w:r>
      <w:r w:rsidR="00BC3198">
        <w:rPr>
          <w:sz w:val="28"/>
          <w:szCs w:val="28"/>
        </w:rPr>
        <w:t xml:space="preserve">уб.), темп роста составляет  100,3 </w:t>
      </w:r>
      <w:r w:rsidRPr="0060032F">
        <w:rPr>
          <w:sz w:val="28"/>
          <w:szCs w:val="28"/>
        </w:rPr>
        <w:t>%</w:t>
      </w:r>
      <w:r w:rsidR="00BC3198">
        <w:rPr>
          <w:sz w:val="28"/>
          <w:szCs w:val="28"/>
        </w:rPr>
        <w:t>.</w:t>
      </w:r>
    </w:p>
    <w:p w:rsidR="00E9414D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Доля НДФЛ в утвержденном общем объеме налоговых</w:t>
      </w:r>
      <w:r>
        <w:rPr>
          <w:sz w:val="28"/>
          <w:szCs w:val="28"/>
        </w:rPr>
        <w:t xml:space="preserve"> и неналоговых</w:t>
      </w:r>
      <w:r w:rsidRPr="0060032F">
        <w:rPr>
          <w:sz w:val="28"/>
          <w:szCs w:val="28"/>
        </w:rPr>
        <w:t xml:space="preserve"> поступл</w:t>
      </w:r>
      <w:r>
        <w:rPr>
          <w:sz w:val="28"/>
          <w:szCs w:val="28"/>
        </w:rPr>
        <w:t>ений на 201</w:t>
      </w:r>
      <w:r w:rsidR="00BC3198">
        <w:rPr>
          <w:sz w:val="28"/>
          <w:szCs w:val="28"/>
        </w:rPr>
        <w:t xml:space="preserve">6 год составляет 38,2 </w:t>
      </w:r>
      <w:r w:rsidRPr="0060032F">
        <w:rPr>
          <w:sz w:val="28"/>
          <w:szCs w:val="28"/>
        </w:rPr>
        <w:t>%, в п</w:t>
      </w:r>
      <w:r>
        <w:rPr>
          <w:sz w:val="28"/>
          <w:szCs w:val="28"/>
        </w:rPr>
        <w:t>роекте бюджета на 201</w:t>
      </w:r>
      <w:r w:rsidR="00647F48">
        <w:rPr>
          <w:sz w:val="28"/>
          <w:szCs w:val="28"/>
        </w:rPr>
        <w:t>7</w:t>
      </w:r>
      <w:r w:rsidR="00455DC2">
        <w:rPr>
          <w:sz w:val="28"/>
          <w:szCs w:val="28"/>
        </w:rPr>
        <w:t xml:space="preserve"> год – 36,4</w:t>
      </w:r>
      <w:r>
        <w:rPr>
          <w:sz w:val="28"/>
          <w:szCs w:val="28"/>
        </w:rPr>
        <w:t xml:space="preserve">% </w:t>
      </w:r>
      <w:r w:rsidRPr="0060032F">
        <w:rPr>
          <w:sz w:val="28"/>
          <w:szCs w:val="28"/>
        </w:rPr>
        <w:t xml:space="preserve"> процентов. </w:t>
      </w:r>
    </w:p>
    <w:p w:rsidR="00E9414D" w:rsidRPr="0060032F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 xml:space="preserve">На местном уровне необходимо продолжить работу по легализации теневой заработной платы, улучшению состояния рынка труда, контролю выплаты официальной заработной платы в размере не ниже среднего уровня, сложившегося по виду экономической деятельности.  </w:t>
      </w:r>
    </w:p>
    <w:p w:rsidR="00E9414D" w:rsidRDefault="00E9414D" w:rsidP="004E67B5">
      <w:pPr>
        <w:ind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Прогноз поступления налоговых и неналоговых доходов в бюджет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 xml:space="preserve">» представлен в таблице </w:t>
      </w:r>
      <w:r w:rsidR="00F55FC9">
        <w:rPr>
          <w:sz w:val="28"/>
          <w:szCs w:val="28"/>
        </w:rPr>
        <w:t xml:space="preserve">№ </w:t>
      </w:r>
      <w:r w:rsidRPr="0060032F">
        <w:rPr>
          <w:sz w:val="28"/>
          <w:szCs w:val="28"/>
        </w:rPr>
        <w:t>3.</w:t>
      </w:r>
    </w:p>
    <w:p w:rsidR="00F55FC9" w:rsidRDefault="00F55FC9" w:rsidP="004E67B5">
      <w:pPr>
        <w:ind w:firstLine="720"/>
        <w:jc w:val="both"/>
        <w:rPr>
          <w:sz w:val="28"/>
          <w:szCs w:val="28"/>
        </w:rPr>
      </w:pPr>
    </w:p>
    <w:p w:rsidR="00E9414D" w:rsidRPr="0060032F" w:rsidRDefault="00E9414D" w:rsidP="00771140">
      <w:pPr>
        <w:ind w:left="7788"/>
        <w:rPr>
          <w:sz w:val="28"/>
          <w:szCs w:val="28"/>
        </w:rPr>
      </w:pPr>
      <w:r w:rsidRPr="0060032F">
        <w:rPr>
          <w:sz w:val="28"/>
          <w:szCs w:val="28"/>
        </w:rPr>
        <w:t xml:space="preserve">  Таблица</w:t>
      </w:r>
      <w:r w:rsidR="00BF68A9">
        <w:rPr>
          <w:sz w:val="28"/>
          <w:szCs w:val="28"/>
        </w:rPr>
        <w:t xml:space="preserve"> № </w:t>
      </w:r>
      <w:r w:rsidRPr="0060032F">
        <w:rPr>
          <w:sz w:val="28"/>
          <w:szCs w:val="28"/>
        </w:rPr>
        <w:t xml:space="preserve"> 3</w:t>
      </w:r>
    </w:p>
    <w:p w:rsidR="00E9414D" w:rsidRPr="00F240F0" w:rsidRDefault="00E9414D" w:rsidP="00C93B9E">
      <w:pPr>
        <w:ind w:firstLine="720"/>
        <w:jc w:val="right"/>
        <w:rPr>
          <w:sz w:val="28"/>
          <w:szCs w:val="28"/>
        </w:rPr>
      </w:pPr>
      <w:r w:rsidRPr="00966A9F">
        <w:t>тыс. руб</w:t>
      </w:r>
      <w:r w:rsidRPr="00F240F0">
        <w:rPr>
          <w:sz w:val="28"/>
          <w:szCs w:val="28"/>
        </w:rPr>
        <w:t>.</w:t>
      </w:r>
      <w:r w:rsidRPr="00F240F0">
        <w:rPr>
          <w:i/>
          <w:sz w:val="28"/>
          <w:szCs w:val="28"/>
        </w:rPr>
        <w:t xml:space="preserve">                            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134"/>
        <w:gridCol w:w="1206"/>
        <w:gridCol w:w="1080"/>
        <w:gridCol w:w="1080"/>
        <w:gridCol w:w="1260"/>
        <w:gridCol w:w="1260"/>
        <w:gridCol w:w="900"/>
        <w:gridCol w:w="1080"/>
      </w:tblGrid>
      <w:tr w:rsidR="00E9414D" w:rsidRPr="00F240F0" w:rsidTr="00640FF5">
        <w:trPr>
          <w:trHeight w:val="972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E9414D" w:rsidRPr="006D2206" w:rsidRDefault="00E9414D" w:rsidP="001F455E">
            <w:pPr>
              <w:jc w:val="center"/>
            </w:pPr>
            <w:r>
              <w:t>Факт</w:t>
            </w:r>
          </w:p>
          <w:p w:rsidR="00E9414D" w:rsidRPr="006D2206" w:rsidRDefault="00E9414D" w:rsidP="00CE4565">
            <w:pPr>
              <w:jc w:val="center"/>
            </w:pPr>
            <w:r w:rsidRPr="006D2206">
              <w:t>201</w:t>
            </w:r>
            <w:r w:rsidR="00CE4565">
              <w:t>5</w:t>
            </w:r>
            <w:r>
              <w:t xml:space="preserve"> </w:t>
            </w:r>
            <w:r w:rsidRPr="006D2206">
              <w:t>г.</w:t>
            </w:r>
          </w:p>
        </w:tc>
        <w:tc>
          <w:tcPr>
            <w:tcW w:w="1206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Ожидаемое</w:t>
            </w:r>
          </w:p>
          <w:p w:rsidR="00E9414D" w:rsidRPr="006D2206" w:rsidRDefault="00E9414D" w:rsidP="00CE4565">
            <w:pPr>
              <w:jc w:val="center"/>
            </w:pPr>
            <w:r w:rsidRPr="006D2206">
              <w:t>за 201</w:t>
            </w:r>
            <w:r w:rsidR="00CE4565">
              <w:t>6</w:t>
            </w:r>
            <w:r w:rsidRPr="006D2206">
              <w:t>г.</w:t>
            </w:r>
          </w:p>
        </w:tc>
        <w:tc>
          <w:tcPr>
            <w:tcW w:w="108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Исполнение 201</w:t>
            </w:r>
            <w:r w:rsidR="00CE4565">
              <w:t>6</w:t>
            </w:r>
            <w:r w:rsidRPr="006D2206">
              <w:t>г.</w:t>
            </w:r>
          </w:p>
          <w:p w:rsidR="00E9414D" w:rsidRPr="006D2206" w:rsidRDefault="00E9414D" w:rsidP="001F455E">
            <w:pPr>
              <w:jc w:val="center"/>
            </w:pPr>
            <w:r w:rsidRPr="006D2206">
              <w:t>к 201</w:t>
            </w:r>
            <w:r w:rsidR="00CE4565">
              <w:t>5</w:t>
            </w:r>
            <w:r w:rsidRPr="006D2206">
              <w:t>г.,</w:t>
            </w:r>
          </w:p>
          <w:p w:rsidR="00E9414D" w:rsidRPr="006D2206" w:rsidRDefault="00E9414D" w:rsidP="001F455E">
            <w:pPr>
              <w:jc w:val="center"/>
            </w:pPr>
            <w:r w:rsidRPr="006D2206">
              <w:t>%</w:t>
            </w:r>
          </w:p>
        </w:tc>
        <w:tc>
          <w:tcPr>
            <w:tcW w:w="1080" w:type="dxa"/>
            <w:vAlign w:val="center"/>
          </w:tcPr>
          <w:p w:rsidR="00E9414D" w:rsidRPr="006D2206" w:rsidRDefault="00E9414D" w:rsidP="00CE4565">
            <w:pPr>
              <w:jc w:val="center"/>
            </w:pPr>
            <w:r w:rsidRPr="006D2206">
              <w:t>Прогноз 201</w:t>
            </w:r>
            <w:r w:rsidR="00CE4565">
              <w:t>7</w:t>
            </w:r>
            <w:r w:rsidRPr="006D2206">
              <w:t>г.</w:t>
            </w:r>
          </w:p>
        </w:tc>
        <w:tc>
          <w:tcPr>
            <w:tcW w:w="126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Бюджет 201</w:t>
            </w:r>
            <w:r w:rsidR="00CE4565">
              <w:t>7</w:t>
            </w:r>
            <w:r w:rsidRPr="006D2206">
              <w:t>г.</w:t>
            </w:r>
          </w:p>
          <w:p w:rsidR="00E9414D" w:rsidRPr="006D2206" w:rsidRDefault="00CE4565" w:rsidP="001F455E">
            <w:pPr>
              <w:jc w:val="center"/>
            </w:pPr>
            <w:r>
              <w:t>к 2016</w:t>
            </w:r>
            <w:r w:rsidR="00E9414D" w:rsidRPr="006D2206">
              <w:t>г., %</w:t>
            </w:r>
          </w:p>
        </w:tc>
        <w:tc>
          <w:tcPr>
            <w:tcW w:w="1260" w:type="dxa"/>
            <w:vAlign w:val="center"/>
          </w:tcPr>
          <w:p w:rsidR="00E9414D" w:rsidRPr="006D2206" w:rsidRDefault="00CE4565" w:rsidP="001F455E">
            <w:pPr>
              <w:jc w:val="center"/>
            </w:pPr>
            <w:r>
              <w:t>Прогноз 2018</w:t>
            </w:r>
            <w:r w:rsidR="00E9414D" w:rsidRPr="006D2206">
              <w:t xml:space="preserve"> г.</w:t>
            </w:r>
          </w:p>
        </w:tc>
        <w:tc>
          <w:tcPr>
            <w:tcW w:w="900" w:type="dxa"/>
            <w:vAlign w:val="center"/>
          </w:tcPr>
          <w:p w:rsidR="00E9414D" w:rsidRPr="006D2206" w:rsidRDefault="00CE4565" w:rsidP="001F455E">
            <w:pPr>
              <w:jc w:val="center"/>
            </w:pPr>
            <w:r>
              <w:t>Бюджет 2018</w:t>
            </w:r>
            <w:r w:rsidR="00E9414D" w:rsidRPr="006D2206">
              <w:t>г.</w:t>
            </w:r>
          </w:p>
          <w:p w:rsidR="00E9414D" w:rsidRPr="006D2206" w:rsidRDefault="00E9414D" w:rsidP="001F455E">
            <w:pPr>
              <w:jc w:val="center"/>
            </w:pPr>
            <w:r w:rsidRPr="006D2206">
              <w:t>к 201</w:t>
            </w:r>
            <w:r w:rsidR="00CE4565">
              <w:t>7</w:t>
            </w:r>
            <w:r w:rsidRPr="006D2206">
              <w:t>г., %</w:t>
            </w:r>
          </w:p>
        </w:tc>
        <w:tc>
          <w:tcPr>
            <w:tcW w:w="1080" w:type="dxa"/>
            <w:vAlign w:val="center"/>
          </w:tcPr>
          <w:p w:rsidR="00E9414D" w:rsidRPr="006D2206" w:rsidRDefault="00E9414D" w:rsidP="00CE4565">
            <w:pPr>
              <w:jc w:val="center"/>
            </w:pPr>
            <w:r w:rsidRPr="006D2206">
              <w:t>Прогноз 201</w:t>
            </w:r>
            <w:r w:rsidR="00CE4565">
              <w:t>9</w:t>
            </w:r>
            <w:r w:rsidRPr="006D2206">
              <w:t xml:space="preserve"> год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Всего доходов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31429,3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35320,1</w:t>
            </w:r>
          </w:p>
        </w:tc>
        <w:tc>
          <w:tcPr>
            <w:tcW w:w="1080" w:type="dxa"/>
            <w:vAlign w:val="center"/>
          </w:tcPr>
          <w:p w:rsidR="00E9414D" w:rsidRPr="006D2206" w:rsidRDefault="00E9414D" w:rsidP="00755E80">
            <w:pPr>
              <w:jc w:val="center"/>
            </w:pPr>
            <w:r>
              <w:t>11</w:t>
            </w:r>
            <w:r w:rsidR="006D4B85">
              <w:t>2,4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31853,5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90,2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32330,5</w:t>
            </w:r>
          </w:p>
        </w:tc>
        <w:tc>
          <w:tcPr>
            <w:tcW w:w="90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101,5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33065,7</w:t>
            </w:r>
          </w:p>
        </w:tc>
      </w:tr>
      <w:tr w:rsidR="00142C9C" w:rsidRPr="00F240F0" w:rsidTr="00640FF5">
        <w:trPr>
          <w:trHeight w:val="567"/>
        </w:trPr>
        <w:tc>
          <w:tcPr>
            <w:tcW w:w="1800" w:type="dxa"/>
            <w:vAlign w:val="center"/>
          </w:tcPr>
          <w:p w:rsidR="00142C9C" w:rsidRPr="006D2206" w:rsidRDefault="00142C9C" w:rsidP="00142C9C">
            <w:pPr>
              <w:jc w:val="center"/>
            </w:pPr>
            <w:r>
              <w:t>Акцизы (дорожный фонд)</w:t>
            </w:r>
          </w:p>
        </w:tc>
        <w:tc>
          <w:tcPr>
            <w:tcW w:w="1134" w:type="dxa"/>
            <w:vAlign w:val="center"/>
          </w:tcPr>
          <w:p w:rsidR="00142C9C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6255,4</w:t>
            </w:r>
          </w:p>
        </w:tc>
        <w:tc>
          <w:tcPr>
            <w:tcW w:w="1206" w:type="dxa"/>
            <w:vAlign w:val="center"/>
          </w:tcPr>
          <w:p w:rsidR="00142C9C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1080" w:type="dxa"/>
            <w:vAlign w:val="center"/>
          </w:tcPr>
          <w:p w:rsidR="00142C9C" w:rsidRDefault="006D4B85" w:rsidP="00755E80">
            <w:pPr>
              <w:jc w:val="center"/>
            </w:pPr>
            <w:r>
              <w:t>95,9</w:t>
            </w:r>
          </w:p>
        </w:tc>
        <w:tc>
          <w:tcPr>
            <w:tcW w:w="1080" w:type="dxa"/>
            <w:vAlign w:val="center"/>
          </w:tcPr>
          <w:p w:rsidR="00142C9C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3853,5</w:t>
            </w:r>
          </w:p>
        </w:tc>
        <w:tc>
          <w:tcPr>
            <w:tcW w:w="1260" w:type="dxa"/>
            <w:vAlign w:val="center"/>
          </w:tcPr>
          <w:p w:rsidR="00142C9C" w:rsidRDefault="006D4B85" w:rsidP="001F455E">
            <w:pPr>
              <w:jc w:val="center"/>
            </w:pPr>
            <w:r>
              <w:t>64,2</w:t>
            </w:r>
          </w:p>
        </w:tc>
        <w:tc>
          <w:tcPr>
            <w:tcW w:w="1260" w:type="dxa"/>
            <w:vAlign w:val="center"/>
          </w:tcPr>
          <w:p w:rsidR="00142C9C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3853,5</w:t>
            </w:r>
          </w:p>
        </w:tc>
        <w:tc>
          <w:tcPr>
            <w:tcW w:w="900" w:type="dxa"/>
            <w:vAlign w:val="center"/>
          </w:tcPr>
          <w:p w:rsidR="00142C9C" w:rsidRDefault="00502806" w:rsidP="001F455E">
            <w:pPr>
              <w:jc w:val="center"/>
            </w:pPr>
            <w:r>
              <w:t>100,0</w:t>
            </w:r>
          </w:p>
        </w:tc>
        <w:tc>
          <w:tcPr>
            <w:tcW w:w="1080" w:type="dxa"/>
            <w:vAlign w:val="center"/>
          </w:tcPr>
          <w:p w:rsidR="00142C9C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3853,5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lastRenderedPageBreak/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11002,5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90,9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11590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115,9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12114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104,5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12124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1300,9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92,2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84,2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1053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104,3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1107,8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1324,4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820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61,9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97,6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121,3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1020,4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Default="00E9414D" w:rsidP="001F455E">
            <w:pPr>
              <w:jc w:val="center"/>
            </w:pPr>
            <w:r>
              <w:t>Земельный налог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10116,3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137,4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71,9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100,0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>
              <w:t>Доходы, получаемые в виде арендной платы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1670,5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59,9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200,0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105,0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E9414D" w:rsidRPr="00F240F0" w:rsidTr="00640FF5">
        <w:trPr>
          <w:trHeight w:val="567"/>
        </w:trPr>
        <w:tc>
          <w:tcPr>
            <w:tcW w:w="1800" w:type="dxa"/>
            <w:vAlign w:val="center"/>
          </w:tcPr>
          <w:p w:rsidR="00E9414D" w:rsidRPr="006D2206" w:rsidRDefault="00E9414D" w:rsidP="001F455E">
            <w:pPr>
              <w:jc w:val="center"/>
            </w:pPr>
            <w:r w:rsidRPr="006D2206">
              <w:t>Прочие 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E9414D" w:rsidRPr="00036A61" w:rsidRDefault="00142C9C" w:rsidP="001F455E">
            <w:pPr>
              <w:jc w:val="center"/>
              <w:rPr>
                <w:b/>
              </w:rPr>
            </w:pPr>
            <w:r>
              <w:rPr>
                <w:b/>
              </w:rPr>
              <w:t>-240,7</w:t>
            </w:r>
          </w:p>
        </w:tc>
        <w:tc>
          <w:tcPr>
            <w:tcW w:w="1206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2400,1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E9414D" w:rsidRPr="006D2206" w:rsidRDefault="006D4B85" w:rsidP="001F455E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1F455E">
            <w:pPr>
              <w:jc w:val="center"/>
            </w:pPr>
            <w:r>
              <w:t>108,3</w:t>
            </w:r>
          </w:p>
        </w:tc>
        <w:tc>
          <w:tcPr>
            <w:tcW w:w="1260" w:type="dxa"/>
            <w:vAlign w:val="center"/>
          </w:tcPr>
          <w:p w:rsidR="00E9414D" w:rsidRPr="006D2206" w:rsidRDefault="006D4B85" w:rsidP="00DA2439">
            <w:pPr>
              <w:jc w:val="center"/>
              <w:rPr>
                <w:b/>
              </w:rPr>
            </w:pPr>
            <w:r>
              <w:rPr>
                <w:b/>
              </w:rPr>
              <w:t>2240</w:t>
            </w:r>
          </w:p>
        </w:tc>
        <w:tc>
          <w:tcPr>
            <w:tcW w:w="900" w:type="dxa"/>
            <w:vAlign w:val="center"/>
          </w:tcPr>
          <w:p w:rsidR="00E9414D" w:rsidRPr="006D2206" w:rsidRDefault="00502806" w:rsidP="001F455E">
            <w:pPr>
              <w:jc w:val="center"/>
            </w:pPr>
            <w:r>
              <w:t>86,2</w:t>
            </w:r>
          </w:p>
        </w:tc>
        <w:tc>
          <w:tcPr>
            <w:tcW w:w="1080" w:type="dxa"/>
            <w:vAlign w:val="center"/>
          </w:tcPr>
          <w:p w:rsidR="00E9414D" w:rsidRPr="006D2206" w:rsidRDefault="00502806" w:rsidP="00DA2439">
            <w:pPr>
              <w:jc w:val="center"/>
              <w:rPr>
                <w:b/>
              </w:rPr>
            </w:pPr>
            <w:r>
              <w:rPr>
                <w:b/>
              </w:rPr>
              <w:t>2460</w:t>
            </w:r>
          </w:p>
        </w:tc>
      </w:tr>
    </w:tbl>
    <w:p w:rsidR="00E9414D" w:rsidRDefault="00E9414D" w:rsidP="004E67B5">
      <w:pPr>
        <w:ind w:left="142" w:right="-166" w:firstLine="720"/>
        <w:jc w:val="both"/>
      </w:pPr>
    </w:p>
    <w:p w:rsidR="00767918" w:rsidRDefault="00767918" w:rsidP="00CF76E6">
      <w:pPr>
        <w:ind w:right="-166"/>
        <w:jc w:val="both"/>
        <w:rPr>
          <w:sz w:val="28"/>
          <w:szCs w:val="28"/>
        </w:rPr>
      </w:pPr>
    </w:p>
    <w:p w:rsidR="00767918" w:rsidRPr="00DA15D7" w:rsidRDefault="00767918" w:rsidP="00767918">
      <w:pPr>
        <w:ind w:left="142" w:right="-1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2017-2019 годах предусмотрено поступление бюджетных ассигнований муниципального дорожного фонда МО «Город Камызяк»</w:t>
      </w:r>
      <w:r w:rsidRPr="00600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объеме 3853,5  тыс. рублей.</w:t>
      </w:r>
    </w:p>
    <w:p w:rsidR="00767918" w:rsidRDefault="00767918" w:rsidP="00767918">
      <w:pPr>
        <w:ind w:left="142" w:right="-166"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Доходы бюджета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 xml:space="preserve">» формируются не только за счет налоговых и неналоговых доходов. </w:t>
      </w:r>
    </w:p>
    <w:p w:rsidR="00767918" w:rsidRPr="00252AB9" w:rsidRDefault="00767918" w:rsidP="00767918">
      <w:pPr>
        <w:ind w:left="142" w:right="-166" w:firstLine="720"/>
        <w:jc w:val="both"/>
        <w:rPr>
          <w:sz w:val="28"/>
          <w:szCs w:val="28"/>
        </w:rPr>
      </w:pPr>
      <w:r w:rsidRPr="0060032F">
        <w:rPr>
          <w:sz w:val="28"/>
          <w:szCs w:val="28"/>
        </w:rPr>
        <w:t>Важную роль играют безвозмездные поступления в бюджет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», которые формируются в основном за счет средств бюджета Астраханской области,</w:t>
      </w:r>
      <w:r>
        <w:rPr>
          <w:sz w:val="28"/>
          <w:szCs w:val="28"/>
        </w:rPr>
        <w:t xml:space="preserve"> передаваемых в виде дотаций, </w:t>
      </w:r>
      <w:r w:rsidRPr="0060032F">
        <w:rPr>
          <w:sz w:val="28"/>
          <w:szCs w:val="28"/>
        </w:rPr>
        <w:t>субсидий и прочих безвозмездных поступлений.</w:t>
      </w:r>
    </w:p>
    <w:p w:rsidR="00767918" w:rsidRDefault="00767918" w:rsidP="00767918">
      <w:pPr>
        <w:ind w:firstLine="900"/>
        <w:jc w:val="both"/>
        <w:rPr>
          <w:sz w:val="28"/>
          <w:szCs w:val="28"/>
        </w:rPr>
      </w:pPr>
      <w:proofErr w:type="gramStart"/>
      <w:r w:rsidRPr="0060032F">
        <w:rPr>
          <w:sz w:val="28"/>
          <w:szCs w:val="28"/>
        </w:rPr>
        <w:t>В представленном проекте бюджета МО «</w:t>
      </w:r>
      <w:r>
        <w:rPr>
          <w:sz w:val="28"/>
          <w:szCs w:val="28"/>
        </w:rPr>
        <w:t>Город Камызяк</w:t>
      </w:r>
      <w:r w:rsidRPr="0060032F">
        <w:rPr>
          <w:sz w:val="28"/>
          <w:szCs w:val="28"/>
        </w:rPr>
        <w:t>» объем безвозмездных поступлений из бюджета Астраханской области</w:t>
      </w:r>
      <w:r>
        <w:rPr>
          <w:sz w:val="28"/>
          <w:szCs w:val="28"/>
        </w:rPr>
        <w:t xml:space="preserve"> </w:t>
      </w:r>
      <w:r w:rsidRPr="0060032F">
        <w:rPr>
          <w:sz w:val="28"/>
          <w:szCs w:val="28"/>
        </w:rPr>
        <w:t>определен с учетом параметров проекта закона Астраханской области «О бюдж</w:t>
      </w:r>
      <w:r>
        <w:rPr>
          <w:sz w:val="28"/>
          <w:szCs w:val="28"/>
        </w:rPr>
        <w:t>ете Астраханской области на 201</w:t>
      </w:r>
      <w:r w:rsidR="00BD4992">
        <w:rPr>
          <w:sz w:val="28"/>
          <w:szCs w:val="28"/>
        </w:rPr>
        <w:t>7</w:t>
      </w:r>
      <w:r w:rsidRPr="0060032F">
        <w:rPr>
          <w:sz w:val="28"/>
          <w:szCs w:val="28"/>
        </w:rPr>
        <w:t xml:space="preserve"> год</w:t>
      </w:r>
      <w:r w:rsidR="00BD4992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 xml:space="preserve">» </w:t>
      </w:r>
      <w:r w:rsidRPr="0060032F">
        <w:rPr>
          <w:sz w:val="28"/>
          <w:szCs w:val="28"/>
        </w:rPr>
        <w:t>представленного к первому чтению, в связи, с чем планируемые параметры безвозмездных поступлений могут быть откорректированы после принятия бюджета области на 201</w:t>
      </w:r>
      <w:r w:rsidR="00BD499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032F">
        <w:rPr>
          <w:sz w:val="28"/>
          <w:szCs w:val="28"/>
        </w:rPr>
        <w:t>год</w:t>
      </w:r>
      <w:r w:rsidR="00BD4992">
        <w:rPr>
          <w:sz w:val="28"/>
          <w:szCs w:val="28"/>
        </w:rPr>
        <w:t>-2019 годы</w:t>
      </w:r>
      <w:r w:rsidRPr="0060032F">
        <w:rPr>
          <w:sz w:val="28"/>
          <w:szCs w:val="28"/>
        </w:rPr>
        <w:t>, а</w:t>
      </w:r>
      <w:proofErr w:type="gramEnd"/>
      <w:r w:rsidRPr="0060032F">
        <w:rPr>
          <w:sz w:val="28"/>
          <w:szCs w:val="28"/>
        </w:rPr>
        <w:t xml:space="preserve"> так же в течение следующего финансового года. </w:t>
      </w:r>
    </w:p>
    <w:p w:rsidR="00767918" w:rsidRPr="00DA15D7" w:rsidRDefault="00767918" w:rsidP="0076791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от других бюджетов бюджетной системы </w:t>
      </w:r>
      <w:r w:rsidRPr="0060032F">
        <w:rPr>
          <w:sz w:val="28"/>
          <w:szCs w:val="28"/>
        </w:rPr>
        <w:t xml:space="preserve"> </w:t>
      </w:r>
      <w:r>
        <w:rPr>
          <w:sz w:val="28"/>
          <w:szCs w:val="28"/>
        </w:rPr>
        <w:t>РФ в бюджет МО «Город Камызяк» прогнозируется в 201</w:t>
      </w:r>
      <w:r w:rsidR="002F3BC2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</w:t>
      </w:r>
      <w:r w:rsidR="002F3BC2">
        <w:rPr>
          <w:sz w:val="28"/>
          <w:szCs w:val="28"/>
        </w:rPr>
        <w:t>ах</w:t>
      </w:r>
      <w:r>
        <w:rPr>
          <w:sz w:val="28"/>
          <w:szCs w:val="28"/>
        </w:rPr>
        <w:t xml:space="preserve"> в сумме </w:t>
      </w:r>
      <w:r w:rsidR="002F3BC2">
        <w:rPr>
          <w:sz w:val="28"/>
          <w:szCs w:val="28"/>
        </w:rPr>
        <w:t xml:space="preserve">12397,7 </w:t>
      </w:r>
      <w:r>
        <w:rPr>
          <w:sz w:val="28"/>
          <w:szCs w:val="28"/>
        </w:rPr>
        <w:t>тыс. рублей, в том числе д</w:t>
      </w:r>
      <w:r w:rsidRPr="00DA15D7">
        <w:rPr>
          <w:sz w:val="28"/>
          <w:szCs w:val="28"/>
        </w:rPr>
        <w:t>отации бюджетам городских поселений на выравнивание бюджетной обеспеченности</w:t>
      </w:r>
      <w:r>
        <w:rPr>
          <w:sz w:val="28"/>
          <w:szCs w:val="28"/>
        </w:rPr>
        <w:t xml:space="preserve"> –</w:t>
      </w:r>
      <w:r w:rsidR="002F3BC2">
        <w:rPr>
          <w:sz w:val="28"/>
          <w:szCs w:val="28"/>
        </w:rPr>
        <w:t xml:space="preserve"> 12397,7 </w:t>
      </w:r>
      <w:r>
        <w:rPr>
          <w:sz w:val="28"/>
          <w:szCs w:val="28"/>
        </w:rPr>
        <w:t>тыс. рублей.</w:t>
      </w:r>
    </w:p>
    <w:p w:rsidR="00771140" w:rsidRDefault="00771140" w:rsidP="002A23D0">
      <w:pPr>
        <w:ind w:right="-166"/>
        <w:rPr>
          <w:sz w:val="28"/>
          <w:szCs w:val="28"/>
        </w:rPr>
      </w:pPr>
    </w:p>
    <w:p w:rsidR="00E9414D" w:rsidRDefault="00E9414D" w:rsidP="008402CA">
      <w:pPr>
        <w:ind w:right="-166" w:firstLine="38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E9414D" w:rsidRDefault="00E9414D" w:rsidP="0029612F">
      <w:pPr>
        <w:ind w:left="142" w:right="-166" w:firstLine="720"/>
        <w:jc w:val="center"/>
        <w:rPr>
          <w:sz w:val="28"/>
          <w:szCs w:val="28"/>
        </w:rPr>
      </w:pPr>
    </w:p>
    <w:p w:rsidR="001B032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7B6">
        <w:rPr>
          <w:sz w:val="28"/>
          <w:szCs w:val="28"/>
        </w:rPr>
        <w:t>Основной целью бюджетной политики является поддержание долгосрочной сбалансированности и финансовой устойчивости бюджета МО «Город Камызяк», одним из способов решения которой является  интегрирование бюджетного планирования в процесс формирования и реализации долгосрочной стратегии развития муниципального образования. Бюджет МО «Город Камызяк» будет на 2016 год формироваться на основе муниципальных программ МО «Город Камызяк», утвержденных Постановлением администрации МО «Камызякский район».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Бюджетная политика на 2017-2019 </w:t>
      </w:r>
      <w:r w:rsidRPr="004D17B6">
        <w:rPr>
          <w:sz w:val="28"/>
          <w:szCs w:val="28"/>
        </w:rPr>
        <w:t xml:space="preserve"> го</w:t>
      </w:r>
      <w:r>
        <w:rPr>
          <w:sz w:val="28"/>
          <w:szCs w:val="28"/>
        </w:rPr>
        <w:t>ды</w:t>
      </w:r>
      <w:r w:rsidRPr="004D17B6">
        <w:rPr>
          <w:sz w:val="28"/>
          <w:szCs w:val="28"/>
        </w:rPr>
        <w:t xml:space="preserve"> в области расходов местного бюджета отвечает принципам консервативного бюджетного планирования и направлена на дальнейшее повышение эффективности расходов местного бюджета. Ключевыми требованиями к расходной части местного бюджета должны стать бережливость и максимальная отдача.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7B6">
        <w:rPr>
          <w:sz w:val="28"/>
          <w:szCs w:val="28"/>
        </w:rPr>
        <w:t>Выполнение поставленных целей возможно при реализации системных мероприятий по следующим направлениям бюджетной политики: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7B6">
        <w:rPr>
          <w:sz w:val="28"/>
          <w:szCs w:val="28"/>
        </w:rPr>
        <w:t>1. Обеспечение долгосрочной сбалансированности и устойчивости бюджетной системы как базового принципа бюджетной политики.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7B6">
        <w:rPr>
          <w:sz w:val="28"/>
          <w:szCs w:val="28"/>
        </w:rPr>
        <w:t>2.  Обеспечение экономической стабильности.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7B6">
        <w:rPr>
          <w:sz w:val="28"/>
          <w:szCs w:val="28"/>
        </w:rPr>
        <w:t xml:space="preserve">3. Формирование бюджетных параметров исходя из необходимости безусловного исполнения действующих расходных обязательств, в том числе обязательств, связанных с исполнением указов. 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17B6">
        <w:rPr>
          <w:sz w:val="28"/>
          <w:szCs w:val="28"/>
        </w:rPr>
        <w:t>. Оптимиз</w:t>
      </w:r>
      <w:r w:rsidR="005414BC">
        <w:rPr>
          <w:sz w:val="28"/>
          <w:szCs w:val="28"/>
        </w:rPr>
        <w:t xml:space="preserve">ация структуры расходов бюджета. </w:t>
      </w:r>
      <w:r w:rsidRPr="004D17B6">
        <w:rPr>
          <w:sz w:val="28"/>
          <w:szCs w:val="28"/>
        </w:rPr>
        <w:t>Реализация мероприятий по сокращению бюджетных расходов на исполнение отдельных расходных обязательств. Существенным резервом повышения эффективности бюджетных расходов является подготовка бюджетных решений. Для эффективного использования бюджетных средств</w:t>
      </w:r>
      <w:r w:rsidR="005414BC">
        <w:rPr>
          <w:sz w:val="28"/>
          <w:szCs w:val="28"/>
        </w:rPr>
        <w:t>,</w:t>
      </w:r>
      <w:r w:rsidRPr="004D17B6">
        <w:rPr>
          <w:sz w:val="28"/>
          <w:szCs w:val="28"/>
        </w:rPr>
        <w:t xml:space="preserve"> требуется смещение акцента на оценку обоснованности бюджетных решений. Необходимо активно использовать оценку эффективности бюджетных расходов уже на этапе планирования расходов.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17B6">
        <w:rPr>
          <w:sz w:val="28"/>
          <w:szCs w:val="28"/>
        </w:rPr>
        <w:t xml:space="preserve">. Недопущение роста и образования несанкционированной кредиторской задолженности. 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17B6">
        <w:rPr>
          <w:sz w:val="28"/>
          <w:szCs w:val="28"/>
        </w:rPr>
        <w:t>. Совершенствование инструмента планирования бюджета МО «Город Камызяк» на основе муниципальных программ МО «Город Камызяк», в том числе планирование целей и задач муниципальных программ с учетом прогнозируемой доходной части бюджета (предельных расходов на финансовое обеспечение реализации мероприятий муниципальной программы).</w:t>
      </w:r>
    </w:p>
    <w:p w:rsidR="001B0326" w:rsidRPr="004D17B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17B6">
        <w:rPr>
          <w:sz w:val="28"/>
          <w:szCs w:val="28"/>
        </w:rPr>
        <w:t>. Обеспечение безусловного выполнения социальных обязательств.</w:t>
      </w:r>
    </w:p>
    <w:p w:rsidR="001B0326" w:rsidRDefault="001B0326" w:rsidP="001B0326">
      <w:pPr>
        <w:widowControl w:val="0"/>
        <w:suppressLineNumbers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17B6">
        <w:rPr>
          <w:sz w:val="28"/>
          <w:szCs w:val="28"/>
        </w:rPr>
        <w:t xml:space="preserve">. Обеспечение прозрачности и открытости бюджета и бюджетного процесса, обеспечение полного и доступного информирования граждан о бюджетном процессе в МО «Город Камызяк». </w:t>
      </w:r>
    </w:p>
    <w:p w:rsidR="0040023C" w:rsidRPr="006C595B" w:rsidRDefault="0040023C" w:rsidP="0040023C">
      <w:pPr>
        <w:suppressAutoHyphens/>
        <w:ind w:left="142" w:right="-1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595B">
        <w:rPr>
          <w:sz w:val="28"/>
          <w:szCs w:val="28"/>
        </w:rPr>
        <w:t>асходы бюджета</w:t>
      </w:r>
      <w:r>
        <w:rPr>
          <w:sz w:val="28"/>
          <w:szCs w:val="28"/>
        </w:rPr>
        <w:t xml:space="preserve"> МО «Город </w:t>
      </w:r>
      <w:r w:rsidR="006212AB">
        <w:rPr>
          <w:sz w:val="28"/>
          <w:szCs w:val="28"/>
        </w:rPr>
        <w:t xml:space="preserve"> </w:t>
      </w:r>
      <w:r>
        <w:rPr>
          <w:sz w:val="28"/>
          <w:szCs w:val="28"/>
        </w:rPr>
        <w:t>Камызяк»</w:t>
      </w:r>
      <w:r w:rsidRPr="006C595B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6C595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6C595B">
        <w:rPr>
          <w:sz w:val="28"/>
          <w:szCs w:val="28"/>
        </w:rPr>
        <w:t xml:space="preserve"> годы </w:t>
      </w:r>
      <w:r>
        <w:rPr>
          <w:sz w:val="28"/>
          <w:szCs w:val="28"/>
        </w:rPr>
        <w:t>запланированы</w:t>
      </w:r>
      <w:r w:rsidRPr="006C595B">
        <w:rPr>
          <w:sz w:val="28"/>
          <w:szCs w:val="28"/>
        </w:rPr>
        <w:t xml:space="preserve"> в следующих объемах:</w:t>
      </w:r>
    </w:p>
    <w:p w:rsidR="0040023C" w:rsidRPr="006C595B" w:rsidRDefault="0040023C" w:rsidP="0040023C">
      <w:pPr>
        <w:suppressAutoHyphens/>
        <w:ind w:left="142" w:right="-166" w:firstLine="720"/>
        <w:jc w:val="both"/>
        <w:rPr>
          <w:sz w:val="28"/>
          <w:szCs w:val="28"/>
        </w:rPr>
      </w:pPr>
      <w:r w:rsidRPr="006C595B">
        <w:rPr>
          <w:sz w:val="28"/>
          <w:szCs w:val="28"/>
        </w:rPr>
        <w:t>201</w:t>
      </w:r>
      <w:r w:rsidR="00052773">
        <w:rPr>
          <w:sz w:val="28"/>
          <w:szCs w:val="28"/>
        </w:rPr>
        <w:t>7</w:t>
      </w:r>
      <w:r w:rsidRPr="006C595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052773">
        <w:rPr>
          <w:sz w:val="28"/>
          <w:szCs w:val="28"/>
        </w:rPr>
        <w:t>47436,5</w:t>
      </w:r>
      <w:r>
        <w:rPr>
          <w:sz w:val="28"/>
          <w:szCs w:val="28"/>
        </w:rPr>
        <w:t xml:space="preserve"> тыс</w:t>
      </w:r>
      <w:r w:rsidRPr="006C595B">
        <w:rPr>
          <w:sz w:val="28"/>
          <w:szCs w:val="28"/>
        </w:rPr>
        <w:t>. рублей;</w:t>
      </w:r>
    </w:p>
    <w:p w:rsidR="0040023C" w:rsidRPr="006C595B" w:rsidRDefault="0040023C" w:rsidP="0040023C">
      <w:pPr>
        <w:suppressAutoHyphens/>
        <w:ind w:left="142" w:right="-166" w:firstLine="720"/>
        <w:jc w:val="both"/>
        <w:rPr>
          <w:sz w:val="28"/>
          <w:szCs w:val="28"/>
        </w:rPr>
      </w:pPr>
      <w:r w:rsidRPr="006C595B">
        <w:rPr>
          <w:sz w:val="28"/>
          <w:szCs w:val="28"/>
        </w:rPr>
        <w:t>201</w:t>
      </w:r>
      <w:r w:rsidR="00052773">
        <w:rPr>
          <w:sz w:val="28"/>
          <w:szCs w:val="28"/>
        </w:rPr>
        <w:t>8</w:t>
      </w:r>
      <w:r w:rsidRPr="006C595B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052773">
        <w:rPr>
          <w:sz w:val="28"/>
          <w:szCs w:val="28"/>
        </w:rPr>
        <w:t>47961,2</w:t>
      </w:r>
      <w:r>
        <w:rPr>
          <w:sz w:val="28"/>
          <w:szCs w:val="28"/>
        </w:rPr>
        <w:t xml:space="preserve"> тыс</w:t>
      </w:r>
      <w:r w:rsidRPr="006C595B">
        <w:rPr>
          <w:sz w:val="28"/>
          <w:szCs w:val="28"/>
        </w:rPr>
        <w:t>. рублей;</w:t>
      </w:r>
    </w:p>
    <w:p w:rsidR="0040023C" w:rsidRPr="006C595B" w:rsidRDefault="0040023C" w:rsidP="0040023C">
      <w:pPr>
        <w:suppressAutoHyphens/>
        <w:ind w:left="142" w:right="-166" w:firstLine="720"/>
        <w:jc w:val="both"/>
        <w:rPr>
          <w:sz w:val="28"/>
          <w:szCs w:val="28"/>
        </w:rPr>
      </w:pPr>
      <w:r w:rsidRPr="006C595B">
        <w:rPr>
          <w:sz w:val="28"/>
          <w:szCs w:val="28"/>
        </w:rPr>
        <w:t>201</w:t>
      </w:r>
      <w:r w:rsidR="00052773">
        <w:rPr>
          <w:sz w:val="28"/>
          <w:szCs w:val="28"/>
        </w:rPr>
        <w:t>9</w:t>
      </w:r>
      <w:r w:rsidRPr="006C595B">
        <w:rPr>
          <w:sz w:val="28"/>
          <w:szCs w:val="28"/>
        </w:rPr>
        <w:t xml:space="preserve"> год –</w:t>
      </w:r>
      <w:r w:rsidR="00052773">
        <w:rPr>
          <w:sz w:val="28"/>
          <w:szCs w:val="28"/>
        </w:rPr>
        <w:t xml:space="preserve">  48770,0</w:t>
      </w:r>
      <w:r w:rsidRPr="006C595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6C595B">
        <w:rPr>
          <w:sz w:val="28"/>
          <w:szCs w:val="28"/>
        </w:rPr>
        <w:t xml:space="preserve">. рублей. </w:t>
      </w:r>
    </w:p>
    <w:p w:rsidR="0040023C" w:rsidRPr="00B1357F" w:rsidRDefault="0040023C" w:rsidP="0040023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0326" w:rsidRPr="00B1357F" w:rsidRDefault="0040023C" w:rsidP="00A76B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57F">
        <w:rPr>
          <w:sz w:val="28"/>
          <w:szCs w:val="28"/>
        </w:rPr>
        <w:t>Формирование расходов на оплату труда с начислениями на 201</w:t>
      </w:r>
      <w:r w:rsidR="00E32F40">
        <w:rPr>
          <w:sz w:val="28"/>
          <w:szCs w:val="28"/>
        </w:rPr>
        <w:t>7</w:t>
      </w:r>
      <w:r w:rsidRPr="00B1357F">
        <w:rPr>
          <w:sz w:val="28"/>
          <w:szCs w:val="28"/>
        </w:rPr>
        <w:t xml:space="preserve"> год и на плановый период 201</w:t>
      </w:r>
      <w:r w:rsidR="00E32F40">
        <w:rPr>
          <w:sz w:val="28"/>
          <w:szCs w:val="28"/>
        </w:rPr>
        <w:t>8</w:t>
      </w:r>
      <w:r w:rsidRPr="00B1357F">
        <w:rPr>
          <w:sz w:val="28"/>
          <w:szCs w:val="28"/>
        </w:rPr>
        <w:t xml:space="preserve"> и 201</w:t>
      </w:r>
      <w:r w:rsidR="00E32F40">
        <w:rPr>
          <w:sz w:val="28"/>
          <w:szCs w:val="28"/>
        </w:rPr>
        <w:t>9</w:t>
      </w:r>
      <w:r w:rsidRPr="00B1357F">
        <w:rPr>
          <w:sz w:val="28"/>
          <w:szCs w:val="28"/>
        </w:rPr>
        <w:t xml:space="preserve"> годов осуществля</w:t>
      </w:r>
      <w:r>
        <w:rPr>
          <w:sz w:val="28"/>
          <w:szCs w:val="28"/>
        </w:rPr>
        <w:t>лось</w:t>
      </w:r>
      <w:r w:rsidRPr="00B1357F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1B0326" w:rsidRDefault="001B0326" w:rsidP="0029612F">
      <w:pPr>
        <w:ind w:left="142" w:right="-166" w:firstLine="720"/>
        <w:jc w:val="center"/>
        <w:rPr>
          <w:sz w:val="28"/>
          <w:szCs w:val="28"/>
        </w:rPr>
      </w:pPr>
    </w:p>
    <w:p w:rsidR="00E9414D" w:rsidRPr="00DD0DDB" w:rsidRDefault="00E9414D" w:rsidP="00DD0D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1408C">
        <w:rPr>
          <w:sz w:val="28"/>
          <w:szCs w:val="28"/>
        </w:rPr>
        <w:t>Общегосударственные вопросы</w:t>
      </w:r>
    </w:p>
    <w:p w:rsidR="00E9414D" w:rsidRPr="00A1408C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 xml:space="preserve">Основными принципами формирования бюджетной политики в сфере функционирования органов </w:t>
      </w:r>
      <w:r>
        <w:rPr>
          <w:sz w:val="28"/>
          <w:szCs w:val="28"/>
        </w:rPr>
        <w:t>местного самоуправления</w:t>
      </w:r>
      <w:r w:rsidRPr="00A1408C">
        <w:rPr>
          <w:sz w:val="28"/>
          <w:szCs w:val="28"/>
        </w:rPr>
        <w:t xml:space="preserve"> являются:</w:t>
      </w:r>
    </w:p>
    <w:p w:rsidR="00E9414D" w:rsidRPr="00A1408C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 xml:space="preserve">- снижение административных барьеров, оптимизация и повышение качества </w:t>
      </w:r>
      <w:r w:rsidRPr="00A1408C">
        <w:rPr>
          <w:sz w:val="28"/>
          <w:szCs w:val="28"/>
        </w:rPr>
        <w:lastRenderedPageBreak/>
        <w:t>предоставления муниципальных услуг</w:t>
      </w:r>
      <w:r>
        <w:rPr>
          <w:sz w:val="28"/>
          <w:szCs w:val="28"/>
        </w:rPr>
        <w:t>;</w:t>
      </w:r>
    </w:p>
    <w:p w:rsidR="00E9414D" w:rsidRPr="00A1408C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>- обеспечение экономической безопасности;</w:t>
      </w:r>
    </w:p>
    <w:p w:rsidR="00E9414D" w:rsidRPr="00A1408C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>- осуществление нормативного правового регулирования в сфере имущественных и земельных отношений;</w:t>
      </w:r>
    </w:p>
    <w:p w:rsidR="00E9414D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>- проведение мероприятий по профилактике и противодействию коррупции.</w:t>
      </w:r>
    </w:p>
    <w:p w:rsidR="00E9414D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0100 «Общегосударственные вопросы» сформированы в объеме:</w:t>
      </w:r>
    </w:p>
    <w:p w:rsidR="00E9414D" w:rsidRDefault="000803A5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E9414D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2121,9  </w:t>
      </w:r>
      <w:r w:rsidR="00E9414D">
        <w:rPr>
          <w:sz w:val="28"/>
          <w:szCs w:val="28"/>
        </w:rPr>
        <w:t>тыс</w:t>
      </w:r>
      <w:proofErr w:type="gramStart"/>
      <w:r w:rsidR="00E9414D">
        <w:rPr>
          <w:sz w:val="28"/>
          <w:szCs w:val="28"/>
        </w:rPr>
        <w:t>.р</w:t>
      </w:r>
      <w:proofErr w:type="gramEnd"/>
      <w:r w:rsidR="00E9414D">
        <w:rPr>
          <w:sz w:val="28"/>
          <w:szCs w:val="28"/>
        </w:rPr>
        <w:t>ублей;</w:t>
      </w:r>
    </w:p>
    <w:p w:rsidR="00E9414D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0803A5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0803A5">
        <w:rPr>
          <w:sz w:val="28"/>
          <w:szCs w:val="28"/>
        </w:rPr>
        <w:t>1941,9</w:t>
      </w:r>
      <w:r>
        <w:rPr>
          <w:sz w:val="28"/>
          <w:szCs w:val="28"/>
        </w:rPr>
        <w:t xml:space="preserve"> </w:t>
      </w:r>
      <w:r w:rsidR="000803A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9414D" w:rsidRDefault="000803A5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– 1941,9 </w:t>
      </w:r>
      <w:r w:rsidR="00E9414D">
        <w:rPr>
          <w:sz w:val="28"/>
          <w:szCs w:val="28"/>
        </w:rPr>
        <w:t xml:space="preserve"> тыс</w:t>
      </w:r>
      <w:proofErr w:type="gramStart"/>
      <w:r w:rsidR="00E9414D">
        <w:rPr>
          <w:sz w:val="28"/>
          <w:szCs w:val="28"/>
        </w:rPr>
        <w:t>.р</w:t>
      </w:r>
      <w:proofErr w:type="gramEnd"/>
      <w:r w:rsidR="00E9414D">
        <w:rPr>
          <w:sz w:val="28"/>
          <w:szCs w:val="28"/>
        </w:rPr>
        <w:t xml:space="preserve">ублей. </w:t>
      </w:r>
    </w:p>
    <w:p w:rsidR="004C0F4B" w:rsidRDefault="004C0F4B" w:rsidP="004C0F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Удельный вес расходов  в 2017 году на данный раздел в общем объеме расходов бюджета составляет  4,5 %.</w:t>
      </w:r>
    </w:p>
    <w:p w:rsidR="004C0F4B" w:rsidRDefault="004C0F4B" w:rsidP="004C0F4B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планируется реализация мероприятий по функциониров</w:t>
      </w:r>
      <w:r w:rsidR="00BA790E">
        <w:rPr>
          <w:sz w:val="28"/>
          <w:szCs w:val="28"/>
        </w:rPr>
        <w:t xml:space="preserve">анию Совета МО «Город Камызяк», </w:t>
      </w:r>
      <w:r>
        <w:rPr>
          <w:sz w:val="28"/>
          <w:szCs w:val="28"/>
        </w:rPr>
        <w:t>осуществление внешнего муниципального финансового контроля.</w:t>
      </w:r>
    </w:p>
    <w:p w:rsidR="00E9414D" w:rsidRPr="00220356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9414D" w:rsidRPr="00220356" w:rsidRDefault="00E9414D" w:rsidP="0029612F">
      <w:pPr>
        <w:suppressAutoHyphens/>
        <w:ind w:left="142" w:right="-166" w:firstLine="720"/>
        <w:jc w:val="center"/>
        <w:rPr>
          <w:b/>
          <w:spacing w:val="-6"/>
          <w:sz w:val="16"/>
          <w:szCs w:val="16"/>
          <w:highlight w:val="yellow"/>
        </w:rPr>
      </w:pPr>
    </w:p>
    <w:p w:rsidR="00E9414D" w:rsidRPr="00A1408C" w:rsidRDefault="00E9414D" w:rsidP="00A506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8C">
        <w:rPr>
          <w:sz w:val="28"/>
          <w:szCs w:val="28"/>
        </w:rPr>
        <w:t>ациональная безопасность</w:t>
      </w:r>
    </w:p>
    <w:p w:rsidR="00793FDF" w:rsidRPr="00DD0DDB" w:rsidRDefault="00E9414D" w:rsidP="00DD0D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1408C">
        <w:rPr>
          <w:sz w:val="28"/>
          <w:szCs w:val="28"/>
        </w:rPr>
        <w:t>и правоохранительная деятельность</w:t>
      </w:r>
    </w:p>
    <w:p w:rsidR="00793FDF" w:rsidRPr="00750852" w:rsidRDefault="00793FDF" w:rsidP="00793FD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408C">
        <w:rPr>
          <w:sz w:val="28"/>
          <w:szCs w:val="28"/>
        </w:rPr>
        <w:t xml:space="preserve">Бюджетную политику в сфере национальной обороны, национальной      безопасности и правоохранительной деятельности планируется </w:t>
      </w:r>
      <w:r>
        <w:rPr>
          <w:sz w:val="28"/>
          <w:szCs w:val="28"/>
        </w:rPr>
        <w:t>реализовать в рамках муниципальной программы «</w:t>
      </w:r>
      <w:r w:rsidRPr="00750852">
        <w:rPr>
          <w:sz w:val="28"/>
          <w:szCs w:val="28"/>
        </w:rPr>
        <w:t xml:space="preserve">Комплексные меры противодействия злоупотреблению наркотиками и их незаконному оборот на территории </w:t>
      </w:r>
      <w:r>
        <w:rPr>
          <w:sz w:val="28"/>
          <w:szCs w:val="28"/>
        </w:rPr>
        <w:t xml:space="preserve">МО "Город Камызяк".  </w:t>
      </w:r>
    </w:p>
    <w:p w:rsidR="00793FDF" w:rsidRDefault="00793FDF" w:rsidP="00793FD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эти цели определены в объеме на 2017-2019 годах –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0,02 % в общем объеме расходов бюджета на 2017 год.</w:t>
      </w:r>
    </w:p>
    <w:p w:rsidR="00E9414D" w:rsidRDefault="00E9414D" w:rsidP="00793FD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14D" w:rsidRPr="00220356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9414D" w:rsidRPr="00DD0DDB" w:rsidRDefault="00E9414D" w:rsidP="00DD0D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B93347" w:rsidRDefault="00B93347" w:rsidP="00B933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«Национальная экономика» составили:</w:t>
      </w:r>
    </w:p>
    <w:p w:rsidR="00B93347" w:rsidRDefault="00B93347" w:rsidP="00B933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2017 год –</w:t>
      </w:r>
      <w:r w:rsidR="00E64084">
        <w:rPr>
          <w:sz w:val="28"/>
          <w:szCs w:val="28"/>
        </w:rPr>
        <w:t xml:space="preserve"> </w:t>
      </w:r>
      <w:r w:rsidR="00EA6B5F">
        <w:rPr>
          <w:sz w:val="28"/>
          <w:szCs w:val="28"/>
        </w:rPr>
        <w:t xml:space="preserve">12536,6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3347" w:rsidRDefault="00B93347" w:rsidP="00B933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– </w:t>
      </w:r>
      <w:r w:rsidR="00EA6B5F">
        <w:rPr>
          <w:sz w:val="28"/>
          <w:szCs w:val="28"/>
        </w:rPr>
        <w:t xml:space="preserve">10489,9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93347" w:rsidRDefault="00B93347" w:rsidP="00B933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</w:t>
      </w:r>
      <w:r w:rsidR="00E64084">
        <w:rPr>
          <w:sz w:val="28"/>
          <w:szCs w:val="28"/>
        </w:rPr>
        <w:t xml:space="preserve"> </w:t>
      </w:r>
      <w:r w:rsidR="00EA6B5F">
        <w:rPr>
          <w:sz w:val="28"/>
          <w:szCs w:val="28"/>
        </w:rPr>
        <w:t xml:space="preserve">8743,8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B93347" w:rsidRDefault="00B93347" w:rsidP="00B933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347" w:rsidRPr="00E65F62" w:rsidRDefault="00B93347" w:rsidP="00B9334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данной отрасли будут реализовываться муниципальные программы  «</w:t>
      </w:r>
      <w:r w:rsidRPr="00E65F62">
        <w:rPr>
          <w:sz w:val="28"/>
          <w:szCs w:val="28"/>
        </w:rPr>
        <w:t>Проведение ремонта автомобильных дорог общего</w:t>
      </w:r>
      <w:r>
        <w:rPr>
          <w:sz w:val="28"/>
          <w:szCs w:val="28"/>
        </w:rPr>
        <w:t xml:space="preserve"> </w:t>
      </w:r>
      <w:r w:rsidRPr="00E65F62">
        <w:rPr>
          <w:sz w:val="28"/>
          <w:szCs w:val="28"/>
        </w:rPr>
        <w:t>пользования на территории муниципального образова</w:t>
      </w:r>
      <w:r>
        <w:rPr>
          <w:sz w:val="28"/>
          <w:szCs w:val="28"/>
        </w:rPr>
        <w:t>ния "Город Камызяк», «</w:t>
      </w:r>
      <w:r w:rsidRPr="00E65F62">
        <w:rPr>
          <w:sz w:val="28"/>
          <w:szCs w:val="28"/>
        </w:rPr>
        <w:t>Организация и осуществление мероприятий по землеустройству и земле</w:t>
      </w:r>
      <w:r>
        <w:rPr>
          <w:sz w:val="28"/>
          <w:szCs w:val="28"/>
        </w:rPr>
        <w:t>п</w:t>
      </w:r>
      <w:r w:rsidRPr="00E65F62">
        <w:rPr>
          <w:sz w:val="28"/>
          <w:szCs w:val="28"/>
        </w:rPr>
        <w:t>ользованию, оценка недвижимости, признание прав и р</w:t>
      </w:r>
      <w:r>
        <w:rPr>
          <w:sz w:val="28"/>
          <w:szCs w:val="28"/>
        </w:rPr>
        <w:t>егулирование отношений по муници</w:t>
      </w:r>
      <w:r w:rsidRPr="00E65F62">
        <w:rPr>
          <w:sz w:val="28"/>
          <w:szCs w:val="28"/>
        </w:rPr>
        <w:t>пальной собственности муниципального образован</w:t>
      </w:r>
      <w:r w:rsidR="000D7B12">
        <w:rPr>
          <w:sz w:val="28"/>
          <w:szCs w:val="28"/>
        </w:rPr>
        <w:t>ия "Город Камызяк".</w:t>
      </w:r>
    </w:p>
    <w:p w:rsidR="00E9414D" w:rsidRDefault="00E9414D" w:rsidP="0029612F">
      <w:pPr>
        <w:suppressAutoHyphens/>
        <w:ind w:firstLine="720"/>
        <w:jc w:val="both"/>
        <w:rPr>
          <w:sz w:val="28"/>
          <w:szCs w:val="28"/>
        </w:rPr>
      </w:pPr>
    </w:p>
    <w:p w:rsidR="00E9414D" w:rsidRPr="00220356" w:rsidRDefault="00E9414D" w:rsidP="0029612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D50F7" w:rsidRDefault="00E9414D" w:rsidP="00DD0D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1408C">
        <w:rPr>
          <w:sz w:val="28"/>
          <w:szCs w:val="28"/>
        </w:rPr>
        <w:t>Жилищно-коммунальное хозяйство</w:t>
      </w:r>
    </w:p>
    <w:p w:rsidR="002D50F7" w:rsidRDefault="002D50F7" w:rsidP="002D50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«Жилищно-коммунальное хозяйство» спроектированы в объеме:</w:t>
      </w:r>
    </w:p>
    <w:p w:rsidR="002D50F7" w:rsidRDefault="002D50F7" w:rsidP="002D50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31341,0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D50F7" w:rsidRDefault="002D50F7" w:rsidP="002D50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33327,4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D50F7" w:rsidRDefault="002D50F7" w:rsidP="002D50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2019 год – 34641,4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2D50F7" w:rsidRDefault="002D50F7" w:rsidP="002D50F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указанных расходов в общем объеме бюджета на 201</w:t>
      </w:r>
      <w:r w:rsidR="00ED5B68">
        <w:rPr>
          <w:sz w:val="28"/>
          <w:szCs w:val="28"/>
        </w:rPr>
        <w:t>7 год составляет 66,1</w:t>
      </w:r>
      <w:r>
        <w:rPr>
          <w:sz w:val="28"/>
          <w:szCs w:val="28"/>
        </w:rPr>
        <w:t xml:space="preserve"> %.</w:t>
      </w:r>
    </w:p>
    <w:p w:rsidR="002D50F7" w:rsidRDefault="002D50F7" w:rsidP="002D50F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03FD">
        <w:rPr>
          <w:sz w:val="28"/>
          <w:szCs w:val="28"/>
        </w:rPr>
        <w:t xml:space="preserve">Основными принципами формирования бюджетной политики в области жилищно-коммунального хозяйства </w:t>
      </w:r>
      <w:r w:rsidRPr="00A1408C">
        <w:rPr>
          <w:sz w:val="28"/>
          <w:szCs w:val="28"/>
        </w:rPr>
        <w:t xml:space="preserve">является развитие </w:t>
      </w:r>
      <w:r>
        <w:rPr>
          <w:sz w:val="28"/>
          <w:szCs w:val="28"/>
        </w:rPr>
        <w:t xml:space="preserve">и модернизация </w:t>
      </w:r>
      <w:r w:rsidRPr="00A1408C">
        <w:rPr>
          <w:sz w:val="28"/>
          <w:szCs w:val="28"/>
        </w:rPr>
        <w:t>жилищно-коммунального комплекса.</w:t>
      </w:r>
      <w:r>
        <w:rPr>
          <w:sz w:val="28"/>
          <w:szCs w:val="28"/>
        </w:rPr>
        <w:t xml:space="preserve"> Планируется дальнейшее финансирование в рамках  муниципальных программ на мероприятия по капитальному ремонту многоквартирных домов, благоустройству, озеленению, освещению улиц, строительству детских игровых площадок на территории МО «Город Камызяк,  мероприятия по ремонту и реконструкции коммунального комплекса.</w:t>
      </w:r>
    </w:p>
    <w:p w:rsidR="002D50F7" w:rsidRDefault="002D50F7" w:rsidP="00A506B9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414D" w:rsidRPr="00DD0DDB" w:rsidRDefault="00E9414D" w:rsidP="00DD0DDB">
      <w:pPr>
        <w:suppressAutoHyphens/>
        <w:jc w:val="center"/>
        <w:rPr>
          <w:sz w:val="28"/>
          <w:szCs w:val="28"/>
        </w:rPr>
      </w:pPr>
      <w:r w:rsidRPr="00220356">
        <w:rPr>
          <w:sz w:val="28"/>
          <w:szCs w:val="28"/>
        </w:rPr>
        <w:t>Культура</w:t>
      </w:r>
    </w:p>
    <w:p w:rsidR="001D6B29" w:rsidRDefault="001D6B29" w:rsidP="001D6B29">
      <w:pPr>
        <w:suppressAutoHyphens/>
        <w:ind w:left="142" w:right="-166" w:firstLine="720"/>
        <w:jc w:val="both"/>
        <w:rPr>
          <w:sz w:val="28"/>
          <w:szCs w:val="28"/>
        </w:rPr>
      </w:pPr>
      <w:r w:rsidRPr="00874A9F">
        <w:rPr>
          <w:sz w:val="28"/>
          <w:szCs w:val="28"/>
        </w:rPr>
        <w:t xml:space="preserve">В разделе 0800 «Культура, кинематография» отражены расходы на предоставление услуг в этой сфере, проведение культурных мероприятий, </w:t>
      </w:r>
      <w:r>
        <w:rPr>
          <w:sz w:val="28"/>
          <w:szCs w:val="28"/>
        </w:rPr>
        <w:t>муниципальную</w:t>
      </w:r>
      <w:r w:rsidRPr="00874A9F">
        <w:rPr>
          <w:sz w:val="28"/>
          <w:szCs w:val="28"/>
        </w:rPr>
        <w:t xml:space="preserve"> поддержку и развитие профессионально-художественного творчества, молодых дарований, сохранение и развитие национальных культур народов, проживающих на территории</w:t>
      </w:r>
      <w:r>
        <w:rPr>
          <w:sz w:val="28"/>
          <w:szCs w:val="28"/>
        </w:rPr>
        <w:t xml:space="preserve"> МО «Город Камызяк».</w:t>
      </w:r>
    </w:p>
    <w:p w:rsidR="001D6B29" w:rsidRDefault="001D6B29" w:rsidP="001D6B29">
      <w:pPr>
        <w:suppressAutoHyphens/>
        <w:ind w:right="-1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данному разделу запланированы в объеме:</w:t>
      </w:r>
    </w:p>
    <w:p w:rsidR="001D6B29" w:rsidRDefault="001D6B29" w:rsidP="001D6B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565,4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6B29" w:rsidRDefault="001D6B29" w:rsidP="001D6B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130,0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D6B29" w:rsidRDefault="001D6B29" w:rsidP="001D6B2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130,0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1D6B29" w:rsidRDefault="001D6B29" w:rsidP="001D6B29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2017-2019 годах в рамках муниципальных программ  </w:t>
      </w:r>
      <w:r w:rsidRPr="00FB3F3B">
        <w:rPr>
          <w:sz w:val="28"/>
          <w:szCs w:val="28"/>
        </w:rPr>
        <w:t xml:space="preserve">"Живи наш край </w:t>
      </w:r>
      <w:proofErr w:type="spellStart"/>
      <w:r w:rsidRPr="00FB3F3B">
        <w:rPr>
          <w:sz w:val="28"/>
          <w:szCs w:val="28"/>
        </w:rPr>
        <w:t>родной-наша</w:t>
      </w:r>
      <w:proofErr w:type="spellEnd"/>
      <w:r w:rsidRPr="00FB3F3B">
        <w:rPr>
          <w:sz w:val="28"/>
          <w:szCs w:val="28"/>
        </w:rPr>
        <w:t xml:space="preserve"> глубинка на территории муниципального образования  "Город Камызяк "</w:t>
      </w:r>
      <w:r w:rsidR="00A66859">
        <w:rPr>
          <w:sz w:val="28"/>
          <w:szCs w:val="28"/>
        </w:rPr>
        <w:t>,  «</w:t>
      </w:r>
      <w:r w:rsidRPr="00FB3F3B">
        <w:rPr>
          <w:sz w:val="28"/>
          <w:szCs w:val="28"/>
        </w:rPr>
        <w:t>Камызяк молодой на территории муниципального образования  "</w:t>
      </w:r>
      <w:r w:rsidR="00403555">
        <w:rPr>
          <w:sz w:val="28"/>
          <w:szCs w:val="28"/>
        </w:rPr>
        <w:t xml:space="preserve">Город Камызяк" </w:t>
      </w:r>
      <w:r w:rsidRPr="00A72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реализованы задачи </w:t>
      </w:r>
      <w:proofErr w:type="gramStart"/>
      <w:r>
        <w:rPr>
          <w:sz w:val="28"/>
          <w:szCs w:val="28"/>
        </w:rPr>
        <w:t>по</w:t>
      </w:r>
      <w:proofErr w:type="gramEnd"/>
      <w:r w:rsidRPr="00A1408C">
        <w:rPr>
          <w:sz w:val="28"/>
          <w:szCs w:val="28"/>
        </w:rPr>
        <w:t>:</w:t>
      </w:r>
    </w:p>
    <w:p w:rsidR="001D6B29" w:rsidRPr="007A03B5" w:rsidRDefault="001D6B29" w:rsidP="001D6B29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проведению мероприятий с молодежью;</w:t>
      </w:r>
    </w:p>
    <w:p w:rsidR="001D6B29" w:rsidRPr="00A1408C" w:rsidRDefault="001D6B29" w:rsidP="001D6B29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6859">
        <w:rPr>
          <w:sz w:val="28"/>
          <w:szCs w:val="28"/>
        </w:rPr>
        <w:t xml:space="preserve"> </w:t>
      </w:r>
      <w:r w:rsidRPr="00A1408C">
        <w:rPr>
          <w:sz w:val="28"/>
          <w:szCs w:val="28"/>
        </w:rPr>
        <w:t xml:space="preserve">сохранению объектов историко-культурного наследия, расположенных на территории </w:t>
      </w:r>
      <w:r>
        <w:rPr>
          <w:sz w:val="28"/>
          <w:szCs w:val="28"/>
        </w:rPr>
        <w:t>МО «Город Камызяк»</w:t>
      </w:r>
      <w:r w:rsidRPr="00A1408C">
        <w:rPr>
          <w:sz w:val="28"/>
          <w:szCs w:val="28"/>
        </w:rPr>
        <w:t>;</w:t>
      </w:r>
    </w:p>
    <w:p w:rsidR="001D6B29" w:rsidRPr="00A1408C" w:rsidRDefault="001D6B29" w:rsidP="001D6B29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A1408C">
        <w:rPr>
          <w:sz w:val="28"/>
          <w:szCs w:val="28"/>
        </w:rPr>
        <w:t>- созданию условий для обеспечения свободы творчества и развит</w:t>
      </w:r>
      <w:r>
        <w:rPr>
          <w:sz w:val="28"/>
          <w:szCs w:val="28"/>
        </w:rPr>
        <w:t xml:space="preserve">ия духовного потенциала народов, находящихся  </w:t>
      </w:r>
      <w:r w:rsidRPr="00A1408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МО «Город Камызяк».</w:t>
      </w:r>
    </w:p>
    <w:p w:rsidR="001D6B29" w:rsidRDefault="001D6B29" w:rsidP="001D6B29">
      <w:pPr>
        <w:suppressAutoHyphens/>
        <w:ind w:right="-166" w:firstLine="720"/>
        <w:jc w:val="both"/>
        <w:rPr>
          <w:sz w:val="28"/>
          <w:szCs w:val="28"/>
        </w:rPr>
      </w:pPr>
    </w:p>
    <w:p w:rsidR="00E9414D" w:rsidRPr="00220356" w:rsidRDefault="00E9414D" w:rsidP="0029612F">
      <w:pPr>
        <w:suppressAutoHyphens/>
        <w:ind w:left="142" w:right="-166" w:firstLine="720"/>
        <w:jc w:val="both"/>
        <w:rPr>
          <w:sz w:val="16"/>
          <w:szCs w:val="16"/>
        </w:rPr>
      </w:pPr>
    </w:p>
    <w:p w:rsidR="00E9414D" w:rsidRPr="00DD0DDB" w:rsidRDefault="00E9414D" w:rsidP="00DD0DDB">
      <w:pPr>
        <w:suppressAutoHyphens/>
        <w:ind w:right="-166"/>
        <w:jc w:val="center"/>
        <w:rPr>
          <w:sz w:val="28"/>
          <w:szCs w:val="28"/>
        </w:rPr>
      </w:pPr>
      <w:r w:rsidRPr="00220356">
        <w:rPr>
          <w:sz w:val="28"/>
          <w:szCs w:val="28"/>
        </w:rPr>
        <w:t>Социальная политика</w:t>
      </w:r>
    </w:p>
    <w:p w:rsidR="00490601" w:rsidRDefault="00490601" w:rsidP="00490601">
      <w:pPr>
        <w:suppressAutoHyphens/>
        <w:ind w:right="-1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предусматривает расходные обязательства, носящие социальный характер (доплаты к пенсиям муниципальных служащих,  выплаты почетным гражданам).</w:t>
      </w:r>
    </w:p>
    <w:p w:rsidR="00490601" w:rsidRDefault="00490601" w:rsidP="00490601">
      <w:pPr>
        <w:suppressAutoHyphens/>
        <w:ind w:right="-1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социальную политику предусмотрены в проекте бюджета на 2017-2019  годы в объеме 341,6 тыс. рублей, что составляет 0,7  % в общем объеме бюджета на 2017 год.</w:t>
      </w:r>
    </w:p>
    <w:p w:rsidR="00490601" w:rsidRDefault="00490601" w:rsidP="00AA26A2">
      <w:pPr>
        <w:suppressAutoHyphens/>
        <w:ind w:right="-166" w:firstLine="720"/>
        <w:jc w:val="both"/>
        <w:rPr>
          <w:sz w:val="28"/>
          <w:szCs w:val="28"/>
        </w:rPr>
      </w:pPr>
    </w:p>
    <w:p w:rsidR="00E9414D" w:rsidRPr="00DA43FC" w:rsidRDefault="00E9414D" w:rsidP="00DA43FC">
      <w:pPr>
        <w:suppressAutoHyphens/>
        <w:jc w:val="center"/>
        <w:rPr>
          <w:sz w:val="28"/>
          <w:szCs w:val="28"/>
        </w:rPr>
      </w:pPr>
      <w:r w:rsidRPr="00220356">
        <w:rPr>
          <w:sz w:val="28"/>
          <w:szCs w:val="28"/>
        </w:rPr>
        <w:t>Физическая культура и спорт</w:t>
      </w:r>
    </w:p>
    <w:p w:rsidR="00DA43FC" w:rsidRDefault="00DA43FC" w:rsidP="00DA43FC">
      <w:pPr>
        <w:suppressAutoHyphens/>
        <w:ind w:firstLine="720"/>
        <w:jc w:val="both"/>
        <w:rPr>
          <w:sz w:val="28"/>
          <w:szCs w:val="28"/>
        </w:rPr>
      </w:pPr>
      <w:r w:rsidRPr="00D118CE">
        <w:rPr>
          <w:sz w:val="28"/>
          <w:szCs w:val="28"/>
        </w:rPr>
        <w:t xml:space="preserve">Раздел 1100 «Физическая культура и спорт» отражает направление расходов на содержание учреждений спорта, реализацию спортивных мероприятий,  обеспечение деятельности в сфере физической культуры и спорта.  </w:t>
      </w:r>
    </w:p>
    <w:p w:rsidR="00DA43FC" w:rsidRDefault="00DA43FC" w:rsidP="00DA43F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бюджете МО «Город Камызяк» п</w:t>
      </w:r>
      <w:r w:rsidRPr="00C86CC4">
        <w:rPr>
          <w:sz w:val="28"/>
          <w:szCs w:val="28"/>
        </w:rPr>
        <w:t>родолжится реализация муниципальной программы «</w:t>
      </w:r>
      <w:r w:rsidRPr="00A725B5">
        <w:rPr>
          <w:sz w:val="28"/>
          <w:szCs w:val="28"/>
        </w:rPr>
        <w:t xml:space="preserve">Развитие физической культуры и спорта на территории  </w:t>
      </w:r>
      <w:r w:rsidRPr="00A725B5">
        <w:rPr>
          <w:sz w:val="28"/>
          <w:szCs w:val="28"/>
        </w:rPr>
        <w:lastRenderedPageBreak/>
        <w:t>муниципального образования  "</w:t>
      </w:r>
      <w:r w:rsidR="00CB331C">
        <w:rPr>
          <w:sz w:val="28"/>
          <w:szCs w:val="28"/>
        </w:rPr>
        <w:t xml:space="preserve">Город Камызяк". </w:t>
      </w:r>
      <w:r w:rsidRPr="00C86CC4">
        <w:rPr>
          <w:sz w:val="28"/>
          <w:szCs w:val="28"/>
        </w:rPr>
        <w:t>Программа ориентирована на создание благоприятных условий для привлечения населения к регулярным занятиям физической культурой и спортом, повышение уровня физической подготовленности и спортивного мастерства, а также  создание массового резерва для спорта высших достижений. Основными задачами программы являются развитие инфраструктуры для занятий массовым спортом по месту жительства за счет обеспечения доступности физкультурно-оздоровительных услуг всем слоям и категориям населения</w:t>
      </w:r>
      <w:r>
        <w:rPr>
          <w:sz w:val="28"/>
          <w:szCs w:val="28"/>
        </w:rPr>
        <w:t>.</w:t>
      </w:r>
    </w:p>
    <w:p w:rsidR="00DA43FC" w:rsidRDefault="00DA43FC" w:rsidP="00DA43F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по данному разделу на 201</w:t>
      </w:r>
      <w:r w:rsidR="00CB331C">
        <w:rPr>
          <w:sz w:val="28"/>
          <w:szCs w:val="28"/>
        </w:rPr>
        <w:t xml:space="preserve">7-2019 </w:t>
      </w:r>
      <w:r>
        <w:rPr>
          <w:sz w:val="28"/>
          <w:szCs w:val="28"/>
        </w:rPr>
        <w:t xml:space="preserve"> год</w:t>
      </w:r>
      <w:r w:rsidR="00CB331C">
        <w:rPr>
          <w:sz w:val="28"/>
          <w:szCs w:val="28"/>
        </w:rPr>
        <w:t xml:space="preserve">ы  запланированы в объеме 220 </w:t>
      </w:r>
      <w:r>
        <w:rPr>
          <w:sz w:val="28"/>
          <w:szCs w:val="28"/>
        </w:rPr>
        <w:t xml:space="preserve"> тыс. рублей. </w:t>
      </w:r>
    </w:p>
    <w:p w:rsidR="00E9414D" w:rsidRPr="00220356" w:rsidRDefault="00E9414D" w:rsidP="0029612F">
      <w:pPr>
        <w:suppressAutoHyphens/>
        <w:ind w:firstLine="720"/>
        <w:jc w:val="both"/>
        <w:rPr>
          <w:sz w:val="16"/>
          <w:szCs w:val="16"/>
        </w:rPr>
      </w:pPr>
    </w:p>
    <w:p w:rsidR="00E9414D" w:rsidRPr="004B1FD2" w:rsidRDefault="00E9414D" w:rsidP="00B57F7D">
      <w:pPr>
        <w:suppressAutoHyphens/>
        <w:jc w:val="center"/>
        <w:rPr>
          <w:sz w:val="28"/>
          <w:szCs w:val="28"/>
        </w:rPr>
      </w:pPr>
      <w:r w:rsidRPr="004B1FD2">
        <w:rPr>
          <w:sz w:val="28"/>
          <w:szCs w:val="28"/>
        </w:rPr>
        <w:t>Средства массовой информации</w:t>
      </w:r>
    </w:p>
    <w:p w:rsidR="00E9414D" w:rsidRPr="00220356" w:rsidRDefault="00E9414D" w:rsidP="0029612F">
      <w:pPr>
        <w:suppressAutoHyphens/>
        <w:ind w:firstLine="720"/>
        <w:jc w:val="both"/>
        <w:rPr>
          <w:sz w:val="16"/>
          <w:szCs w:val="16"/>
        </w:rPr>
      </w:pPr>
    </w:p>
    <w:p w:rsidR="00E9414D" w:rsidRDefault="00E9414D" w:rsidP="0029612F">
      <w:pPr>
        <w:suppressAutoHyphens/>
        <w:ind w:firstLine="720"/>
        <w:jc w:val="both"/>
        <w:rPr>
          <w:sz w:val="28"/>
          <w:szCs w:val="28"/>
        </w:rPr>
      </w:pPr>
      <w:r w:rsidRPr="004B1FD2">
        <w:rPr>
          <w:sz w:val="28"/>
          <w:szCs w:val="28"/>
        </w:rPr>
        <w:t>Бюджетная политика в области с</w:t>
      </w:r>
      <w:r w:rsidRPr="004B1FD2">
        <w:rPr>
          <w:bCs/>
          <w:sz w:val="28"/>
          <w:szCs w:val="28"/>
        </w:rPr>
        <w:t xml:space="preserve">редств массовой информации направлена </w:t>
      </w:r>
      <w:r w:rsidRPr="004B1FD2">
        <w:rPr>
          <w:sz w:val="28"/>
          <w:szCs w:val="28"/>
        </w:rPr>
        <w:t>на обеспечение размещения муниципальных правовых актов органов местного самоуправления МО «</w:t>
      </w:r>
      <w:r>
        <w:rPr>
          <w:sz w:val="28"/>
          <w:szCs w:val="28"/>
        </w:rPr>
        <w:t>Город Камызяк</w:t>
      </w:r>
      <w:r w:rsidRPr="004B1FD2">
        <w:rPr>
          <w:sz w:val="28"/>
          <w:szCs w:val="28"/>
        </w:rPr>
        <w:t>», информирование населения о деятельности органов местного самоуправления МО «</w:t>
      </w:r>
      <w:r>
        <w:rPr>
          <w:sz w:val="28"/>
          <w:szCs w:val="28"/>
        </w:rPr>
        <w:t>Город Камызяк</w:t>
      </w:r>
      <w:r w:rsidRPr="004B1FD2">
        <w:rPr>
          <w:sz w:val="28"/>
          <w:szCs w:val="28"/>
        </w:rPr>
        <w:t>» через средства массовой информации.</w:t>
      </w:r>
    </w:p>
    <w:p w:rsidR="00E9414D" w:rsidRDefault="00E9414D" w:rsidP="0029612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201</w:t>
      </w:r>
      <w:r w:rsidR="006F5BC0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 расходы на данный раздел составили по 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9414D" w:rsidRDefault="00E9414D" w:rsidP="0029612F">
      <w:pPr>
        <w:suppressAutoHyphens/>
        <w:ind w:firstLine="720"/>
        <w:jc w:val="both"/>
        <w:rPr>
          <w:sz w:val="28"/>
          <w:szCs w:val="28"/>
        </w:rPr>
      </w:pPr>
      <w:r w:rsidRPr="004B1FD2">
        <w:rPr>
          <w:sz w:val="28"/>
          <w:szCs w:val="28"/>
        </w:rPr>
        <w:t>В рамках текущих расходов предусматриваются расходы на реализацию муниципальной программы «</w:t>
      </w:r>
      <w:r>
        <w:rPr>
          <w:sz w:val="28"/>
          <w:szCs w:val="28"/>
        </w:rPr>
        <w:t>Информационное обеспечение и формирование позитивного общественного мнения населения МО «Город Камызяк»</w:t>
      </w:r>
      <w:r w:rsidRPr="004B1FD2">
        <w:rPr>
          <w:sz w:val="28"/>
          <w:szCs w:val="28"/>
        </w:rPr>
        <w:t>.</w:t>
      </w:r>
    </w:p>
    <w:p w:rsidR="006F5BC0" w:rsidRDefault="006F5BC0" w:rsidP="0029612F">
      <w:pPr>
        <w:suppressAutoHyphens/>
        <w:ind w:firstLine="720"/>
        <w:jc w:val="both"/>
        <w:rPr>
          <w:sz w:val="28"/>
          <w:szCs w:val="28"/>
        </w:rPr>
      </w:pPr>
    </w:p>
    <w:p w:rsidR="00E9414D" w:rsidRPr="00220356" w:rsidRDefault="00E9414D" w:rsidP="0029612F">
      <w:pPr>
        <w:suppressAutoHyphens/>
        <w:ind w:firstLine="720"/>
        <w:jc w:val="both"/>
        <w:rPr>
          <w:sz w:val="16"/>
          <w:szCs w:val="16"/>
        </w:rPr>
      </w:pPr>
    </w:p>
    <w:p w:rsidR="00E9414D" w:rsidRPr="00C86CC4" w:rsidRDefault="00E9414D" w:rsidP="0029612F">
      <w:pPr>
        <w:suppressAutoHyphens/>
        <w:ind w:firstLine="720"/>
        <w:jc w:val="both"/>
        <w:rPr>
          <w:sz w:val="28"/>
          <w:szCs w:val="28"/>
        </w:rPr>
      </w:pPr>
    </w:p>
    <w:sectPr w:rsidR="00E9414D" w:rsidRPr="00C86CC4" w:rsidSect="0060687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2" w:right="567" w:bottom="23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D6" w:rsidRDefault="00C508D6">
      <w:r>
        <w:separator/>
      </w:r>
    </w:p>
  </w:endnote>
  <w:endnote w:type="continuationSeparator" w:id="0">
    <w:p w:rsidR="00C508D6" w:rsidRDefault="00C5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 Narr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83" w:rsidRDefault="009A5383" w:rsidP="00715F49">
    <w:pPr>
      <w:pStyle w:val="ae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83" w:rsidRDefault="009A5383" w:rsidP="00414335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83" w:rsidRDefault="009A5383" w:rsidP="00EE394E">
    <w:pPr>
      <w:pStyle w:val="ae"/>
      <w:framePr w:wrap="around" w:vAnchor="text" w:hAnchor="margin" w:xAlign="right" w:y="1"/>
      <w:rPr>
        <w:rStyle w:val="a7"/>
      </w:rPr>
    </w:pPr>
  </w:p>
  <w:p w:rsidR="009A5383" w:rsidRDefault="009A5383" w:rsidP="0041433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D6" w:rsidRDefault="00C508D6">
      <w:r>
        <w:separator/>
      </w:r>
    </w:p>
  </w:footnote>
  <w:footnote w:type="continuationSeparator" w:id="0">
    <w:p w:rsidR="00C508D6" w:rsidRDefault="00C5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83" w:rsidRDefault="009A5383" w:rsidP="003B315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383" w:rsidRDefault="009A538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383" w:rsidRDefault="009A5383">
    <w:pPr>
      <w:pStyle w:val="a8"/>
      <w:jc w:val="center"/>
    </w:pPr>
    <w:fldSimple w:instr="PAGE   \* MERGEFORMAT">
      <w:r w:rsidR="007F30CA">
        <w:rPr>
          <w:noProof/>
        </w:rPr>
        <w:t>2</w:t>
      </w:r>
    </w:fldSimple>
  </w:p>
  <w:p w:rsidR="009A5383" w:rsidRDefault="009A53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0E16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32CB8"/>
    <w:multiLevelType w:val="hybridMultilevel"/>
    <w:tmpl w:val="6916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5B3C83"/>
    <w:multiLevelType w:val="hybridMultilevel"/>
    <w:tmpl w:val="75B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D498E"/>
    <w:multiLevelType w:val="hybridMultilevel"/>
    <w:tmpl w:val="18245D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210240"/>
    <w:multiLevelType w:val="hybridMultilevel"/>
    <w:tmpl w:val="952A01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E310414"/>
    <w:multiLevelType w:val="hybridMultilevel"/>
    <w:tmpl w:val="52923A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C36313"/>
    <w:multiLevelType w:val="hybridMultilevel"/>
    <w:tmpl w:val="8EC8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B69D7"/>
    <w:multiLevelType w:val="hybridMultilevel"/>
    <w:tmpl w:val="54E4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B5909"/>
    <w:multiLevelType w:val="hybridMultilevel"/>
    <w:tmpl w:val="05EC9A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F113ECB"/>
    <w:multiLevelType w:val="hybridMultilevel"/>
    <w:tmpl w:val="1818B324"/>
    <w:lvl w:ilvl="0" w:tplc="BEDCA3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40F2A76"/>
    <w:multiLevelType w:val="hybridMultilevel"/>
    <w:tmpl w:val="61DA6126"/>
    <w:lvl w:ilvl="0" w:tplc="B56801C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1">
    <w:nsid w:val="5FF57311"/>
    <w:multiLevelType w:val="hybridMultilevel"/>
    <w:tmpl w:val="604CA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1A5B9E"/>
    <w:multiLevelType w:val="hybridMultilevel"/>
    <w:tmpl w:val="E9D8B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86E003F"/>
    <w:multiLevelType w:val="hybridMultilevel"/>
    <w:tmpl w:val="19180F6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98C3EE3"/>
    <w:multiLevelType w:val="hybridMultilevel"/>
    <w:tmpl w:val="8F202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8A"/>
    <w:rsid w:val="000010D3"/>
    <w:rsid w:val="0000251F"/>
    <w:rsid w:val="00002F83"/>
    <w:rsid w:val="00003122"/>
    <w:rsid w:val="000044A1"/>
    <w:rsid w:val="0000552A"/>
    <w:rsid w:val="000057BA"/>
    <w:rsid w:val="00007A0B"/>
    <w:rsid w:val="00010136"/>
    <w:rsid w:val="0001050A"/>
    <w:rsid w:val="00011691"/>
    <w:rsid w:val="00011F3C"/>
    <w:rsid w:val="00013690"/>
    <w:rsid w:val="000146E6"/>
    <w:rsid w:val="0001477F"/>
    <w:rsid w:val="00015441"/>
    <w:rsid w:val="000165CE"/>
    <w:rsid w:val="00016637"/>
    <w:rsid w:val="00016F85"/>
    <w:rsid w:val="000170CB"/>
    <w:rsid w:val="0002071D"/>
    <w:rsid w:val="00020EC4"/>
    <w:rsid w:val="0002188F"/>
    <w:rsid w:val="00021CB7"/>
    <w:rsid w:val="0002225B"/>
    <w:rsid w:val="00023E7F"/>
    <w:rsid w:val="0002414A"/>
    <w:rsid w:val="0002463F"/>
    <w:rsid w:val="00024909"/>
    <w:rsid w:val="000251E6"/>
    <w:rsid w:val="000252FE"/>
    <w:rsid w:val="0002581F"/>
    <w:rsid w:val="0003065B"/>
    <w:rsid w:val="000308C8"/>
    <w:rsid w:val="00031581"/>
    <w:rsid w:val="00032AA0"/>
    <w:rsid w:val="00032D2B"/>
    <w:rsid w:val="00032D56"/>
    <w:rsid w:val="00033B19"/>
    <w:rsid w:val="00036A61"/>
    <w:rsid w:val="00037BBA"/>
    <w:rsid w:val="00040A99"/>
    <w:rsid w:val="00043983"/>
    <w:rsid w:val="0004593E"/>
    <w:rsid w:val="0004630A"/>
    <w:rsid w:val="000469F2"/>
    <w:rsid w:val="00047F4D"/>
    <w:rsid w:val="00050874"/>
    <w:rsid w:val="00050D04"/>
    <w:rsid w:val="00051B8C"/>
    <w:rsid w:val="00052773"/>
    <w:rsid w:val="00054F99"/>
    <w:rsid w:val="0005575E"/>
    <w:rsid w:val="00060271"/>
    <w:rsid w:val="00060545"/>
    <w:rsid w:val="0006054C"/>
    <w:rsid w:val="0006085D"/>
    <w:rsid w:val="00062715"/>
    <w:rsid w:val="000642EA"/>
    <w:rsid w:val="00064DD8"/>
    <w:rsid w:val="00064F54"/>
    <w:rsid w:val="00066479"/>
    <w:rsid w:val="000666E9"/>
    <w:rsid w:val="00066900"/>
    <w:rsid w:val="00066956"/>
    <w:rsid w:val="00066B03"/>
    <w:rsid w:val="00067857"/>
    <w:rsid w:val="00067A57"/>
    <w:rsid w:val="000705C3"/>
    <w:rsid w:val="00070CD9"/>
    <w:rsid w:val="0007125C"/>
    <w:rsid w:val="0007138E"/>
    <w:rsid w:val="000738E9"/>
    <w:rsid w:val="000764C7"/>
    <w:rsid w:val="000765DE"/>
    <w:rsid w:val="0007697F"/>
    <w:rsid w:val="000769DB"/>
    <w:rsid w:val="0007759B"/>
    <w:rsid w:val="000803A5"/>
    <w:rsid w:val="00080949"/>
    <w:rsid w:val="000809A6"/>
    <w:rsid w:val="000819F9"/>
    <w:rsid w:val="00083614"/>
    <w:rsid w:val="0008397C"/>
    <w:rsid w:val="000844B6"/>
    <w:rsid w:val="00084637"/>
    <w:rsid w:val="000857CC"/>
    <w:rsid w:val="00085811"/>
    <w:rsid w:val="00085A11"/>
    <w:rsid w:val="000869C4"/>
    <w:rsid w:val="00086D0E"/>
    <w:rsid w:val="000903F5"/>
    <w:rsid w:val="0009174F"/>
    <w:rsid w:val="00092712"/>
    <w:rsid w:val="00093F5D"/>
    <w:rsid w:val="0009471B"/>
    <w:rsid w:val="00094A1D"/>
    <w:rsid w:val="000964AF"/>
    <w:rsid w:val="00096704"/>
    <w:rsid w:val="00096949"/>
    <w:rsid w:val="0009726F"/>
    <w:rsid w:val="000A2B88"/>
    <w:rsid w:val="000A3422"/>
    <w:rsid w:val="000A35C8"/>
    <w:rsid w:val="000A3E29"/>
    <w:rsid w:val="000A4559"/>
    <w:rsid w:val="000A45D1"/>
    <w:rsid w:val="000A759F"/>
    <w:rsid w:val="000A785F"/>
    <w:rsid w:val="000A7EC7"/>
    <w:rsid w:val="000B0360"/>
    <w:rsid w:val="000B1C82"/>
    <w:rsid w:val="000B25AC"/>
    <w:rsid w:val="000B2EE6"/>
    <w:rsid w:val="000B3F64"/>
    <w:rsid w:val="000B4060"/>
    <w:rsid w:val="000B579C"/>
    <w:rsid w:val="000B5C1E"/>
    <w:rsid w:val="000B653B"/>
    <w:rsid w:val="000B66EC"/>
    <w:rsid w:val="000C01F6"/>
    <w:rsid w:val="000C1A10"/>
    <w:rsid w:val="000C260E"/>
    <w:rsid w:val="000C410C"/>
    <w:rsid w:val="000C41A7"/>
    <w:rsid w:val="000C4BE3"/>
    <w:rsid w:val="000C503C"/>
    <w:rsid w:val="000C617A"/>
    <w:rsid w:val="000C6589"/>
    <w:rsid w:val="000C6C5D"/>
    <w:rsid w:val="000D0870"/>
    <w:rsid w:val="000D0951"/>
    <w:rsid w:val="000D2B81"/>
    <w:rsid w:val="000D38ED"/>
    <w:rsid w:val="000D3947"/>
    <w:rsid w:val="000D3D67"/>
    <w:rsid w:val="000D45D9"/>
    <w:rsid w:val="000D5B2F"/>
    <w:rsid w:val="000D6130"/>
    <w:rsid w:val="000D62D8"/>
    <w:rsid w:val="000D7406"/>
    <w:rsid w:val="000D7B12"/>
    <w:rsid w:val="000E0112"/>
    <w:rsid w:val="000E0A8A"/>
    <w:rsid w:val="000E0D7B"/>
    <w:rsid w:val="000E1509"/>
    <w:rsid w:val="000E203E"/>
    <w:rsid w:val="000E2A89"/>
    <w:rsid w:val="000E2E54"/>
    <w:rsid w:val="000E4185"/>
    <w:rsid w:val="000E7AD2"/>
    <w:rsid w:val="000F1657"/>
    <w:rsid w:val="000F1FF8"/>
    <w:rsid w:val="000F2224"/>
    <w:rsid w:val="000F35DC"/>
    <w:rsid w:val="000F486F"/>
    <w:rsid w:val="000F4ADA"/>
    <w:rsid w:val="000F5069"/>
    <w:rsid w:val="000F704E"/>
    <w:rsid w:val="000F7E3E"/>
    <w:rsid w:val="000F7EB0"/>
    <w:rsid w:val="000F7FF7"/>
    <w:rsid w:val="001001D8"/>
    <w:rsid w:val="00100966"/>
    <w:rsid w:val="001019BD"/>
    <w:rsid w:val="0010340C"/>
    <w:rsid w:val="00103A65"/>
    <w:rsid w:val="00103F75"/>
    <w:rsid w:val="0010534A"/>
    <w:rsid w:val="0010697F"/>
    <w:rsid w:val="00107129"/>
    <w:rsid w:val="001074C3"/>
    <w:rsid w:val="00107D48"/>
    <w:rsid w:val="0011014E"/>
    <w:rsid w:val="00110CB5"/>
    <w:rsid w:val="001133FE"/>
    <w:rsid w:val="00114F41"/>
    <w:rsid w:val="001153E8"/>
    <w:rsid w:val="00115DE0"/>
    <w:rsid w:val="001170A2"/>
    <w:rsid w:val="00117B4D"/>
    <w:rsid w:val="001207D7"/>
    <w:rsid w:val="00120D71"/>
    <w:rsid w:val="00121AF5"/>
    <w:rsid w:val="00122D6A"/>
    <w:rsid w:val="00125BCC"/>
    <w:rsid w:val="00125D0A"/>
    <w:rsid w:val="00125F87"/>
    <w:rsid w:val="00126015"/>
    <w:rsid w:val="0012652A"/>
    <w:rsid w:val="00126568"/>
    <w:rsid w:val="001268BA"/>
    <w:rsid w:val="00126B5D"/>
    <w:rsid w:val="00126D04"/>
    <w:rsid w:val="00130001"/>
    <w:rsid w:val="00130313"/>
    <w:rsid w:val="0013094F"/>
    <w:rsid w:val="00131370"/>
    <w:rsid w:val="001327B8"/>
    <w:rsid w:val="00133CBF"/>
    <w:rsid w:val="00133CCB"/>
    <w:rsid w:val="001356B3"/>
    <w:rsid w:val="00135881"/>
    <w:rsid w:val="00135B94"/>
    <w:rsid w:val="0013624F"/>
    <w:rsid w:val="00136B5E"/>
    <w:rsid w:val="00136CEB"/>
    <w:rsid w:val="001372BB"/>
    <w:rsid w:val="00140330"/>
    <w:rsid w:val="00140CC1"/>
    <w:rsid w:val="0014160A"/>
    <w:rsid w:val="00141E19"/>
    <w:rsid w:val="00142C9C"/>
    <w:rsid w:val="00143F50"/>
    <w:rsid w:val="00144AEE"/>
    <w:rsid w:val="00146AEB"/>
    <w:rsid w:val="00146CAD"/>
    <w:rsid w:val="001501A6"/>
    <w:rsid w:val="001501DD"/>
    <w:rsid w:val="0015163E"/>
    <w:rsid w:val="00151B49"/>
    <w:rsid w:val="00152B11"/>
    <w:rsid w:val="00152C67"/>
    <w:rsid w:val="001539F9"/>
    <w:rsid w:val="00153DA3"/>
    <w:rsid w:val="0015451A"/>
    <w:rsid w:val="00154955"/>
    <w:rsid w:val="00154967"/>
    <w:rsid w:val="0015569E"/>
    <w:rsid w:val="00156732"/>
    <w:rsid w:val="00157D13"/>
    <w:rsid w:val="00157D14"/>
    <w:rsid w:val="00157E3A"/>
    <w:rsid w:val="00162DB1"/>
    <w:rsid w:val="00164F15"/>
    <w:rsid w:val="001650E4"/>
    <w:rsid w:val="00166D9C"/>
    <w:rsid w:val="001720F5"/>
    <w:rsid w:val="001728F5"/>
    <w:rsid w:val="00172CF4"/>
    <w:rsid w:val="0017345F"/>
    <w:rsid w:val="0017361F"/>
    <w:rsid w:val="001745A6"/>
    <w:rsid w:val="00175668"/>
    <w:rsid w:val="00175697"/>
    <w:rsid w:val="00176E2B"/>
    <w:rsid w:val="00177050"/>
    <w:rsid w:val="00180FB2"/>
    <w:rsid w:val="001814F1"/>
    <w:rsid w:val="00183724"/>
    <w:rsid w:val="00183ED1"/>
    <w:rsid w:val="00184EF2"/>
    <w:rsid w:val="001855BF"/>
    <w:rsid w:val="00185B33"/>
    <w:rsid w:val="00186049"/>
    <w:rsid w:val="00186196"/>
    <w:rsid w:val="00186BC7"/>
    <w:rsid w:val="00187003"/>
    <w:rsid w:val="0018734D"/>
    <w:rsid w:val="00187548"/>
    <w:rsid w:val="0019213C"/>
    <w:rsid w:val="00192685"/>
    <w:rsid w:val="00192E1D"/>
    <w:rsid w:val="0019411E"/>
    <w:rsid w:val="001942C4"/>
    <w:rsid w:val="00196DBB"/>
    <w:rsid w:val="0019740C"/>
    <w:rsid w:val="00197A84"/>
    <w:rsid w:val="001A005C"/>
    <w:rsid w:val="001A024C"/>
    <w:rsid w:val="001A03A7"/>
    <w:rsid w:val="001A265E"/>
    <w:rsid w:val="001A5BE7"/>
    <w:rsid w:val="001A7322"/>
    <w:rsid w:val="001B0326"/>
    <w:rsid w:val="001B0777"/>
    <w:rsid w:val="001B085C"/>
    <w:rsid w:val="001B0A74"/>
    <w:rsid w:val="001B1C09"/>
    <w:rsid w:val="001B21F4"/>
    <w:rsid w:val="001B2410"/>
    <w:rsid w:val="001B253B"/>
    <w:rsid w:val="001B25BE"/>
    <w:rsid w:val="001B31E0"/>
    <w:rsid w:val="001C2401"/>
    <w:rsid w:val="001C2A1C"/>
    <w:rsid w:val="001C4521"/>
    <w:rsid w:val="001C6416"/>
    <w:rsid w:val="001C646E"/>
    <w:rsid w:val="001D0B20"/>
    <w:rsid w:val="001D0B9D"/>
    <w:rsid w:val="001D1388"/>
    <w:rsid w:val="001D1DE1"/>
    <w:rsid w:val="001D21B3"/>
    <w:rsid w:val="001D2C9A"/>
    <w:rsid w:val="001D3824"/>
    <w:rsid w:val="001D4B57"/>
    <w:rsid w:val="001D4FD8"/>
    <w:rsid w:val="001D5168"/>
    <w:rsid w:val="001D52E0"/>
    <w:rsid w:val="001D5707"/>
    <w:rsid w:val="001D6338"/>
    <w:rsid w:val="001D6B29"/>
    <w:rsid w:val="001D798E"/>
    <w:rsid w:val="001D7D94"/>
    <w:rsid w:val="001D7FEB"/>
    <w:rsid w:val="001E2927"/>
    <w:rsid w:val="001E3976"/>
    <w:rsid w:val="001E3A5B"/>
    <w:rsid w:val="001E52E7"/>
    <w:rsid w:val="001E60F5"/>
    <w:rsid w:val="001E7624"/>
    <w:rsid w:val="001F077F"/>
    <w:rsid w:val="001F18B5"/>
    <w:rsid w:val="001F32DF"/>
    <w:rsid w:val="001F455E"/>
    <w:rsid w:val="001F5BD6"/>
    <w:rsid w:val="001F60D6"/>
    <w:rsid w:val="001F61DF"/>
    <w:rsid w:val="001F6303"/>
    <w:rsid w:val="001F7D82"/>
    <w:rsid w:val="00200320"/>
    <w:rsid w:val="00202BC3"/>
    <w:rsid w:val="00202CD1"/>
    <w:rsid w:val="00203C16"/>
    <w:rsid w:val="002042A1"/>
    <w:rsid w:val="00204A69"/>
    <w:rsid w:val="0020517D"/>
    <w:rsid w:val="00205BB0"/>
    <w:rsid w:val="0021077A"/>
    <w:rsid w:val="00211B71"/>
    <w:rsid w:val="00211DE4"/>
    <w:rsid w:val="00212EA8"/>
    <w:rsid w:val="002135B0"/>
    <w:rsid w:val="00213A30"/>
    <w:rsid w:val="00214751"/>
    <w:rsid w:val="00215253"/>
    <w:rsid w:val="002155FE"/>
    <w:rsid w:val="00215D56"/>
    <w:rsid w:val="0021627C"/>
    <w:rsid w:val="00216B66"/>
    <w:rsid w:val="00220356"/>
    <w:rsid w:val="00220F24"/>
    <w:rsid w:val="00221118"/>
    <w:rsid w:val="0022227F"/>
    <w:rsid w:val="00223275"/>
    <w:rsid w:val="0022380C"/>
    <w:rsid w:val="00224AF6"/>
    <w:rsid w:val="002258D0"/>
    <w:rsid w:val="002270C9"/>
    <w:rsid w:val="0023045E"/>
    <w:rsid w:val="0023104C"/>
    <w:rsid w:val="00231B76"/>
    <w:rsid w:val="00232280"/>
    <w:rsid w:val="0023240D"/>
    <w:rsid w:val="00233123"/>
    <w:rsid w:val="002333FE"/>
    <w:rsid w:val="002334D4"/>
    <w:rsid w:val="002334E7"/>
    <w:rsid w:val="0023387E"/>
    <w:rsid w:val="00234590"/>
    <w:rsid w:val="00234DEE"/>
    <w:rsid w:val="002351F1"/>
    <w:rsid w:val="00235323"/>
    <w:rsid w:val="00235B86"/>
    <w:rsid w:val="00236233"/>
    <w:rsid w:val="00236CE4"/>
    <w:rsid w:val="002379C7"/>
    <w:rsid w:val="00240868"/>
    <w:rsid w:val="00241E18"/>
    <w:rsid w:val="002426B0"/>
    <w:rsid w:val="00242960"/>
    <w:rsid w:val="002448BE"/>
    <w:rsid w:val="00245EB0"/>
    <w:rsid w:val="0024765E"/>
    <w:rsid w:val="00247F4F"/>
    <w:rsid w:val="0025066D"/>
    <w:rsid w:val="00250DB2"/>
    <w:rsid w:val="00251238"/>
    <w:rsid w:val="0025250F"/>
    <w:rsid w:val="00253359"/>
    <w:rsid w:val="00253FBD"/>
    <w:rsid w:val="00254AA3"/>
    <w:rsid w:val="00254F30"/>
    <w:rsid w:val="002557A8"/>
    <w:rsid w:val="00260BA1"/>
    <w:rsid w:val="00261515"/>
    <w:rsid w:val="00261B7F"/>
    <w:rsid w:val="00261BFB"/>
    <w:rsid w:val="002636E2"/>
    <w:rsid w:val="0026375B"/>
    <w:rsid w:val="00264AA9"/>
    <w:rsid w:val="00264B46"/>
    <w:rsid w:val="00264B5D"/>
    <w:rsid w:val="0026569A"/>
    <w:rsid w:val="00265B1F"/>
    <w:rsid w:val="00266AC6"/>
    <w:rsid w:val="0026710B"/>
    <w:rsid w:val="00267982"/>
    <w:rsid w:val="002702E6"/>
    <w:rsid w:val="00270C0B"/>
    <w:rsid w:val="00271B1D"/>
    <w:rsid w:val="0027330D"/>
    <w:rsid w:val="002739CD"/>
    <w:rsid w:val="00274BC8"/>
    <w:rsid w:val="002768D2"/>
    <w:rsid w:val="00276DDF"/>
    <w:rsid w:val="00276ED7"/>
    <w:rsid w:val="002801AD"/>
    <w:rsid w:val="00282572"/>
    <w:rsid w:val="002826C8"/>
    <w:rsid w:val="00282AA6"/>
    <w:rsid w:val="00283087"/>
    <w:rsid w:val="002842F6"/>
    <w:rsid w:val="002847B1"/>
    <w:rsid w:val="00284BC0"/>
    <w:rsid w:val="002861E1"/>
    <w:rsid w:val="00286320"/>
    <w:rsid w:val="00286429"/>
    <w:rsid w:val="00286BF1"/>
    <w:rsid w:val="00287348"/>
    <w:rsid w:val="00287514"/>
    <w:rsid w:val="0028798D"/>
    <w:rsid w:val="00290417"/>
    <w:rsid w:val="0029082F"/>
    <w:rsid w:val="00290CAC"/>
    <w:rsid w:val="002948F1"/>
    <w:rsid w:val="00295B82"/>
    <w:rsid w:val="00295C9D"/>
    <w:rsid w:val="00295F55"/>
    <w:rsid w:val="0029612F"/>
    <w:rsid w:val="002963BD"/>
    <w:rsid w:val="00296890"/>
    <w:rsid w:val="002A0289"/>
    <w:rsid w:val="002A0D42"/>
    <w:rsid w:val="002A23D0"/>
    <w:rsid w:val="002A2468"/>
    <w:rsid w:val="002A40DA"/>
    <w:rsid w:val="002A5284"/>
    <w:rsid w:val="002A5EA0"/>
    <w:rsid w:val="002A713D"/>
    <w:rsid w:val="002A7807"/>
    <w:rsid w:val="002B13D4"/>
    <w:rsid w:val="002B14E2"/>
    <w:rsid w:val="002B3EF9"/>
    <w:rsid w:val="002B482C"/>
    <w:rsid w:val="002B6C9F"/>
    <w:rsid w:val="002B6D01"/>
    <w:rsid w:val="002B7740"/>
    <w:rsid w:val="002C02B2"/>
    <w:rsid w:val="002C048F"/>
    <w:rsid w:val="002C3587"/>
    <w:rsid w:val="002C3924"/>
    <w:rsid w:val="002C398F"/>
    <w:rsid w:val="002C4D3F"/>
    <w:rsid w:val="002C50EF"/>
    <w:rsid w:val="002C7F42"/>
    <w:rsid w:val="002D15E9"/>
    <w:rsid w:val="002D17D2"/>
    <w:rsid w:val="002D1A0B"/>
    <w:rsid w:val="002D1B37"/>
    <w:rsid w:val="002D3FB4"/>
    <w:rsid w:val="002D4491"/>
    <w:rsid w:val="002D50F7"/>
    <w:rsid w:val="002D5893"/>
    <w:rsid w:val="002D5DED"/>
    <w:rsid w:val="002D6985"/>
    <w:rsid w:val="002D74B2"/>
    <w:rsid w:val="002D7D36"/>
    <w:rsid w:val="002E0223"/>
    <w:rsid w:val="002E1091"/>
    <w:rsid w:val="002E10D5"/>
    <w:rsid w:val="002E1E5A"/>
    <w:rsid w:val="002E241A"/>
    <w:rsid w:val="002E24F7"/>
    <w:rsid w:val="002E33CE"/>
    <w:rsid w:val="002E42C6"/>
    <w:rsid w:val="002E6829"/>
    <w:rsid w:val="002F0850"/>
    <w:rsid w:val="002F08C4"/>
    <w:rsid w:val="002F13DD"/>
    <w:rsid w:val="002F1994"/>
    <w:rsid w:val="002F2526"/>
    <w:rsid w:val="002F2786"/>
    <w:rsid w:val="002F2A03"/>
    <w:rsid w:val="002F3BC2"/>
    <w:rsid w:val="002F3D83"/>
    <w:rsid w:val="002F3F5E"/>
    <w:rsid w:val="002F5361"/>
    <w:rsid w:val="002F7E87"/>
    <w:rsid w:val="003008B5"/>
    <w:rsid w:val="0030097F"/>
    <w:rsid w:val="00301FAF"/>
    <w:rsid w:val="003066EC"/>
    <w:rsid w:val="003076DC"/>
    <w:rsid w:val="003078DA"/>
    <w:rsid w:val="00307C0D"/>
    <w:rsid w:val="00307CE7"/>
    <w:rsid w:val="00307E0A"/>
    <w:rsid w:val="00313A36"/>
    <w:rsid w:val="00314767"/>
    <w:rsid w:val="003160E5"/>
    <w:rsid w:val="0031755D"/>
    <w:rsid w:val="003203FF"/>
    <w:rsid w:val="00321B87"/>
    <w:rsid w:val="00321F21"/>
    <w:rsid w:val="00322B1D"/>
    <w:rsid w:val="0032353B"/>
    <w:rsid w:val="00324352"/>
    <w:rsid w:val="00324F06"/>
    <w:rsid w:val="00324FF5"/>
    <w:rsid w:val="0032659F"/>
    <w:rsid w:val="003273A9"/>
    <w:rsid w:val="00327E64"/>
    <w:rsid w:val="00331AFA"/>
    <w:rsid w:val="00331D0D"/>
    <w:rsid w:val="00331FBC"/>
    <w:rsid w:val="00334C15"/>
    <w:rsid w:val="003352CE"/>
    <w:rsid w:val="003354CA"/>
    <w:rsid w:val="00336BBC"/>
    <w:rsid w:val="00337A33"/>
    <w:rsid w:val="00337C3A"/>
    <w:rsid w:val="00341750"/>
    <w:rsid w:val="0034177A"/>
    <w:rsid w:val="00343706"/>
    <w:rsid w:val="0034432D"/>
    <w:rsid w:val="00344CD9"/>
    <w:rsid w:val="0034501D"/>
    <w:rsid w:val="003455DB"/>
    <w:rsid w:val="003465BC"/>
    <w:rsid w:val="003470F6"/>
    <w:rsid w:val="003473B8"/>
    <w:rsid w:val="003503C7"/>
    <w:rsid w:val="003504EF"/>
    <w:rsid w:val="00351269"/>
    <w:rsid w:val="0035251B"/>
    <w:rsid w:val="003527D7"/>
    <w:rsid w:val="00352CAB"/>
    <w:rsid w:val="00355FA5"/>
    <w:rsid w:val="00356410"/>
    <w:rsid w:val="003566FF"/>
    <w:rsid w:val="00356EE2"/>
    <w:rsid w:val="00357D74"/>
    <w:rsid w:val="0036040C"/>
    <w:rsid w:val="00361A50"/>
    <w:rsid w:val="00361A8D"/>
    <w:rsid w:val="003622B8"/>
    <w:rsid w:val="0036232A"/>
    <w:rsid w:val="003628E2"/>
    <w:rsid w:val="00362D62"/>
    <w:rsid w:val="003649C0"/>
    <w:rsid w:val="00365082"/>
    <w:rsid w:val="00365906"/>
    <w:rsid w:val="0036689F"/>
    <w:rsid w:val="00367622"/>
    <w:rsid w:val="00367D68"/>
    <w:rsid w:val="003705A7"/>
    <w:rsid w:val="003706F1"/>
    <w:rsid w:val="00371E45"/>
    <w:rsid w:val="00372622"/>
    <w:rsid w:val="00376134"/>
    <w:rsid w:val="00376399"/>
    <w:rsid w:val="003765E3"/>
    <w:rsid w:val="00376BEF"/>
    <w:rsid w:val="00376E6B"/>
    <w:rsid w:val="003800A4"/>
    <w:rsid w:val="00380F1F"/>
    <w:rsid w:val="00381469"/>
    <w:rsid w:val="00382874"/>
    <w:rsid w:val="0038290D"/>
    <w:rsid w:val="0038337D"/>
    <w:rsid w:val="0038409D"/>
    <w:rsid w:val="00386F35"/>
    <w:rsid w:val="0038776F"/>
    <w:rsid w:val="00387CDD"/>
    <w:rsid w:val="00391B4E"/>
    <w:rsid w:val="00392B97"/>
    <w:rsid w:val="00394AE3"/>
    <w:rsid w:val="00395530"/>
    <w:rsid w:val="003969F5"/>
    <w:rsid w:val="00397FF1"/>
    <w:rsid w:val="003A1A36"/>
    <w:rsid w:val="003A2522"/>
    <w:rsid w:val="003A397D"/>
    <w:rsid w:val="003A409F"/>
    <w:rsid w:val="003A5063"/>
    <w:rsid w:val="003A50F6"/>
    <w:rsid w:val="003A572E"/>
    <w:rsid w:val="003A5F70"/>
    <w:rsid w:val="003A7B16"/>
    <w:rsid w:val="003A7BB2"/>
    <w:rsid w:val="003B1861"/>
    <w:rsid w:val="003B3157"/>
    <w:rsid w:val="003B3B0F"/>
    <w:rsid w:val="003B40DC"/>
    <w:rsid w:val="003B480F"/>
    <w:rsid w:val="003B523A"/>
    <w:rsid w:val="003B56E8"/>
    <w:rsid w:val="003B5FD7"/>
    <w:rsid w:val="003B6AF8"/>
    <w:rsid w:val="003C0925"/>
    <w:rsid w:val="003C095E"/>
    <w:rsid w:val="003C2205"/>
    <w:rsid w:val="003C2666"/>
    <w:rsid w:val="003C2B16"/>
    <w:rsid w:val="003C2C00"/>
    <w:rsid w:val="003C31B2"/>
    <w:rsid w:val="003C397C"/>
    <w:rsid w:val="003C3FA0"/>
    <w:rsid w:val="003C5F08"/>
    <w:rsid w:val="003C625E"/>
    <w:rsid w:val="003D07D8"/>
    <w:rsid w:val="003D1284"/>
    <w:rsid w:val="003D2956"/>
    <w:rsid w:val="003D2C0F"/>
    <w:rsid w:val="003D2CC3"/>
    <w:rsid w:val="003D2F9C"/>
    <w:rsid w:val="003D4295"/>
    <w:rsid w:val="003D5C52"/>
    <w:rsid w:val="003D69DF"/>
    <w:rsid w:val="003E0066"/>
    <w:rsid w:val="003E1910"/>
    <w:rsid w:val="003E1D73"/>
    <w:rsid w:val="003E2EDE"/>
    <w:rsid w:val="003E3445"/>
    <w:rsid w:val="003E474D"/>
    <w:rsid w:val="003E5281"/>
    <w:rsid w:val="003E53AD"/>
    <w:rsid w:val="003E5BC2"/>
    <w:rsid w:val="003E646E"/>
    <w:rsid w:val="003F048C"/>
    <w:rsid w:val="003F0C87"/>
    <w:rsid w:val="003F0C96"/>
    <w:rsid w:val="003F18EC"/>
    <w:rsid w:val="003F1D98"/>
    <w:rsid w:val="003F26AF"/>
    <w:rsid w:val="003F27FB"/>
    <w:rsid w:val="003F2F4D"/>
    <w:rsid w:val="003F3AE0"/>
    <w:rsid w:val="003F4428"/>
    <w:rsid w:val="003F48F9"/>
    <w:rsid w:val="003F5350"/>
    <w:rsid w:val="003F58B8"/>
    <w:rsid w:val="003F6080"/>
    <w:rsid w:val="003F6A9D"/>
    <w:rsid w:val="003F76DF"/>
    <w:rsid w:val="0040023C"/>
    <w:rsid w:val="004006E2"/>
    <w:rsid w:val="00401252"/>
    <w:rsid w:val="00401603"/>
    <w:rsid w:val="00402F08"/>
    <w:rsid w:val="0040327B"/>
    <w:rsid w:val="00403555"/>
    <w:rsid w:val="004043F9"/>
    <w:rsid w:val="00405E57"/>
    <w:rsid w:val="0040643A"/>
    <w:rsid w:val="0040666A"/>
    <w:rsid w:val="00407EE9"/>
    <w:rsid w:val="004101CE"/>
    <w:rsid w:val="004102F6"/>
    <w:rsid w:val="00411931"/>
    <w:rsid w:val="00411A08"/>
    <w:rsid w:val="00411FCA"/>
    <w:rsid w:val="00413861"/>
    <w:rsid w:val="00414211"/>
    <w:rsid w:val="00414223"/>
    <w:rsid w:val="00414335"/>
    <w:rsid w:val="0041496A"/>
    <w:rsid w:val="004152AE"/>
    <w:rsid w:val="00415B44"/>
    <w:rsid w:val="00416EEF"/>
    <w:rsid w:val="00417294"/>
    <w:rsid w:val="004176FA"/>
    <w:rsid w:val="0041775D"/>
    <w:rsid w:val="004210E6"/>
    <w:rsid w:val="00425E0F"/>
    <w:rsid w:val="00426917"/>
    <w:rsid w:val="00426C6F"/>
    <w:rsid w:val="004311D5"/>
    <w:rsid w:val="0043155E"/>
    <w:rsid w:val="004316BA"/>
    <w:rsid w:val="00432605"/>
    <w:rsid w:val="00432EB2"/>
    <w:rsid w:val="0043325A"/>
    <w:rsid w:val="00433FFD"/>
    <w:rsid w:val="0043634D"/>
    <w:rsid w:val="00436D06"/>
    <w:rsid w:val="00436E7B"/>
    <w:rsid w:val="00440043"/>
    <w:rsid w:val="004400E0"/>
    <w:rsid w:val="00440447"/>
    <w:rsid w:val="004408B1"/>
    <w:rsid w:val="00440C5A"/>
    <w:rsid w:val="0044154E"/>
    <w:rsid w:val="0044196B"/>
    <w:rsid w:val="0044516A"/>
    <w:rsid w:val="0044572C"/>
    <w:rsid w:val="004467D1"/>
    <w:rsid w:val="0044751E"/>
    <w:rsid w:val="00451FBD"/>
    <w:rsid w:val="00453112"/>
    <w:rsid w:val="00453B05"/>
    <w:rsid w:val="00455CAB"/>
    <w:rsid w:val="00455DBB"/>
    <w:rsid w:val="00455DC2"/>
    <w:rsid w:val="004562F6"/>
    <w:rsid w:val="0046014E"/>
    <w:rsid w:val="00460E8E"/>
    <w:rsid w:val="00461C70"/>
    <w:rsid w:val="004622F9"/>
    <w:rsid w:val="00462A7D"/>
    <w:rsid w:val="004638B4"/>
    <w:rsid w:val="004644D5"/>
    <w:rsid w:val="004645B6"/>
    <w:rsid w:val="0046569A"/>
    <w:rsid w:val="00465F4F"/>
    <w:rsid w:val="00467516"/>
    <w:rsid w:val="004676B9"/>
    <w:rsid w:val="00471FD4"/>
    <w:rsid w:val="00472F01"/>
    <w:rsid w:val="00473660"/>
    <w:rsid w:val="004741E8"/>
    <w:rsid w:val="00474274"/>
    <w:rsid w:val="00474B0A"/>
    <w:rsid w:val="0047690C"/>
    <w:rsid w:val="00476CB7"/>
    <w:rsid w:val="004776A6"/>
    <w:rsid w:val="004802DE"/>
    <w:rsid w:val="00480F80"/>
    <w:rsid w:val="00481E7A"/>
    <w:rsid w:val="00483618"/>
    <w:rsid w:val="00485BEA"/>
    <w:rsid w:val="0048636B"/>
    <w:rsid w:val="00490601"/>
    <w:rsid w:val="00491BDD"/>
    <w:rsid w:val="00492CA2"/>
    <w:rsid w:val="00493423"/>
    <w:rsid w:val="00496C93"/>
    <w:rsid w:val="00497911"/>
    <w:rsid w:val="004A0B07"/>
    <w:rsid w:val="004A0F69"/>
    <w:rsid w:val="004A18AF"/>
    <w:rsid w:val="004A2D98"/>
    <w:rsid w:val="004A2DE0"/>
    <w:rsid w:val="004A322E"/>
    <w:rsid w:val="004A361E"/>
    <w:rsid w:val="004A3900"/>
    <w:rsid w:val="004A47D5"/>
    <w:rsid w:val="004A5329"/>
    <w:rsid w:val="004A6ACB"/>
    <w:rsid w:val="004A71E7"/>
    <w:rsid w:val="004B006C"/>
    <w:rsid w:val="004B0125"/>
    <w:rsid w:val="004B168B"/>
    <w:rsid w:val="004B1D5F"/>
    <w:rsid w:val="004B1FD2"/>
    <w:rsid w:val="004B28EE"/>
    <w:rsid w:val="004B5689"/>
    <w:rsid w:val="004B57BB"/>
    <w:rsid w:val="004B59F1"/>
    <w:rsid w:val="004B5D16"/>
    <w:rsid w:val="004B5FCE"/>
    <w:rsid w:val="004B6021"/>
    <w:rsid w:val="004B6062"/>
    <w:rsid w:val="004B61B9"/>
    <w:rsid w:val="004B6973"/>
    <w:rsid w:val="004B6ED5"/>
    <w:rsid w:val="004B7613"/>
    <w:rsid w:val="004B7B68"/>
    <w:rsid w:val="004C0582"/>
    <w:rsid w:val="004C0F4B"/>
    <w:rsid w:val="004C1157"/>
    <w:rsid w:val="004C11CB"/>
    <w:rsid w:val="004C1FE6"/>
    <w:rsid w:val="004C33A7"/>
    <w:rsid w:val="004C3A96"/>
    <w:rsid w:val="004C453F"/>
    <w:rsid w:val="004C456D"/>
    <w:rsid w:val="004C482C"/>
    <w:rsid w:val="004C4A89"/>
    <w:rsid w:val="004C6F37"/>
    <w:rsid w:val="004D02AD"/>
    <w:rsid w:val="004D29BD"/>
    <w:rsid w:val="004D2F0D"/>
    <w:rsid w:val="004D318A"/>
    <w:rsid w:val="004D416F"/>
    <w:rsid w:val="004E262C"/>
    <w:rsid w:val="004E3E00"/>
    <w:rsid w:val="004E4447"/>
    <w:rsid w:val="004E54B3"/>
    <w:rsid w:val="004E63B0"/>
    <w:rsid w:val="004E67B5"/>
    <w:rsid w:val="004E6CA5"/>
    <w:rsid w:val="004E6E59"/>
    <w:rsid w:val="004E7677"/>
    <w:rsid w:val="004F1D72"/>
    <w:rsid w:val="004F21E4"/>
    <w:rsid w:val="004F2F15"/>
    <w:rsid w:val="004F394E"/>
    <w:rsid w:val="004F4D62"/>
    <w:rsid w:val="004F59A4"/>
    <w:rsid w:val="004F6013"/>
    <w:rsid w:val="004F66A9"/>
    <w:rsid w:val="004F6781"/>
    <w:rsid w:val="004F76B4"/>
    <w:rsid w:val="004F787C"/>
    <w:rsid w:val="005009BF"/>
    <w:rsid w:val="00500D33"/>
    <w:rsid w:val="0050178E"/>
    <w:rsid w:val="00501B4B"/>
    <w:rsid w:val="00502806"/>
    <w:rsid w:val="00502B2E"/>
    <w:rsid w:val="005031A5"/>
    <w:rsid w:val="00503CAA"/>
    <w:rsid w:val="00504FE6"/>
    <w:rsid w:val="00505FD6"/>
    <w:rsid w:val="00506665"/>
    <w:rsid w:val="00506AB6"/>
    <w:rsid w:val="00506C79"/>
    <w:rsid w:val="00507B23"/>
    <w:rsid w:val="00507EDC"/>
    <w:rsid w:val="00510234"/>
    <w:rsid w:val="00510295"/>
    <w:rsid w:val="005106D5"/>
    <w:rsid w:val="005113C8"/>
    <w:rsid w:val="00512953"/>
    <w:rsid w:val="00513E1F"/>
    <w:rsid w:val="00514598"/>
    <w:rsid w:val="00514BAC"/>
    <w:rsid w:val="00515F08"/>
    <w:rsid w:val="0051617B"/>
    <w:rsid w:val="005164B2"/>
    <w:rsid w:val="00516746"/>
    <w:rsid w:val="005167DA"/>
    <w:rsid w:val="00517223"/>
    <w:rsid w:val="005178FB"/>
    <w:rsid w:val="005206E4"/>
    <w:rsid w:val="0052089A"/>
    <w:rsid w:val="00521A00"/>
    <w:rsid w:val="00522242"/>
    <w:rsid w:val="005226D7"/>
    <w:rsid w:val="00522C6C"/>
    <w:rsid w:val="0052348E"/>
    <w:rsid w:val="0052371A"/>
    <w:rsid w:val="00523A9B"/>
    <w:rsid w:val="00523E50"/>
    <w:rsid w:val="00525087"/>
    <w:rsid w:val="00526A10"/>
    <w:rsid w:val="00526FBE"/>
    <w:rsid w:val="005276FE"/>
    <w:rsid w:val="00531ABC"/>
    <w:rsid w:val="00531D0F"/>
    <w:rsid w:val="00532CD5"/>
    <w:rsid w:val="00534534"/>
    <w:rsid w:val="00535004"/>
    <w:rsid w:val="0053529E"/>
    <w:rsid w:val="00537049"/>
    <w:rsid w:val="005414BC"/>
    <w:rsid w:val="00542FA2"/>
    <w:rsid w:val="005434D2"/>
    <w:rsid w:val="00544F0B"/>
    <w:rsid w:val="00545DAC"/>
    <w:rsid w:val="00546D62"/>
    <w:rsid w:val="0054773A"/>
    <w:rsid w:val="00550444"/>
    <w:rsid w:val="00551265"/>
    <w:rsid w:val="00552D05"/>
    <w:rsid w:val="00552D06"/>
    <w:rsid w:val="00552E96"/>
    <w:rsid w:val="0055307B"/>
    <w:rsid w:val="00554B54"/>
    <w:rsid w:val="00555122"/>
    <w:rsid w:val="005554B7"/>
    <w:rsid w:val="0055570D"/>
    <w:rsid w:val="00556E3D"/>
    <w:rsid w:val="005602C3"/>
    <w:rsid w:val="00560EEC"/>
    <w:rsid w:val="00562A95"/>
    <w:rsid w:val="00563EA0"/>
    <w:rsid w:val="0056414F"/>
    <w:rsid w:val="005642B5"/>
    <w:rsid w:val="0056595C"/>
    <w:rsid w:val="00566581"/>
    <w:rsid w:val="00566828"/>
    <w:rsid w:val="00566E3D"/>
    <w:rsid w:val="005678E6"/>
    <w:rsid w:val="00567AA6"/>
    <w:rsid w:val="00570783"/>
    <w:rsid w:val="00570D69"/>
    <w:rsid w:val="00571F24"/>
    <w:rsid w:val="00573CC1"/>
    <w:rsid w:val="00573CD8"/>
    <w:rsid w:val="0057458B"/>
    <w:rsid w:val="00574A87"/>
    <w:rsid w:val="0057649E"/>
    <w:rsid w:val="005767E9"/>
    <w:rsid w:val="00580145"/>
    <w:rsid w:val="005808DA"/>
    <w:rsid w:val="005817BD"/>
    <w:rsid w:val="0058187B"/>
    <w:rsid w:val="00582086"/>
    <w:rsid w:val="00583660"/>
    <w:rsid w:val="00583B85"/>
    <w:rsid w:val="00583F1D"/>
    <w:rsid w:val="005851AB"/>
    <w:rsid w:val="0058597F"/>
    <w:rsid w:val="00585FBA"/>
    <w:rsid w:val="005869CA"/>
    <w:rsid w:val="00586B41"/>
    <w:rsid w:val="0059105F"/>
    <w:rsid w:val="00593043"/>
    <w:rsid w:val="0059436A"/>
    <w:rsid w:val="00595C2B"/>
    <w:rsid w:val="00596C33"/>
    <w:rsid w:val="0059775E"/>
    <w:rsid w:val="005A03EA"/>
    <w:rsid w:val="005A18E1"/>
    <w:rsid w:val="005A1A3C"/>
    <w:rsid w:val="005A25CD"/>
    <w:rsid w:val="005A4A9B"/>
    <w:rsid w:val="005A528B"/>
    <w:rsid w:val="005A54F3"/>
    <w:rsid w:val="005A61AD"/>
    <w:rsid w:val="005A6DDD"/>
    <w:rsid w:val="005B2DD3"/>
    <w:rsid w:val="005B3E29"/>
    <w:rsid w:val="005B3FB5"/>
    <w:rsid w:val="005B4264"/>
    <w:rsid w:val="005B4658"/>
    <w:rsid w:val="005B634F"/>
    <w:rsid w:val="005B68B9"/>
    <w:rsid w:val="005B7224"/>
    <w:rsid w:val="005B7BF1"/>
    <w:rsid w:val="005C15CC"/>
    <w:rsid w:val="005C20F0"/>
    <w:rsid w:val="005C2741"/>
    <w:rsid w:val="005C27F4"/>
    <w:rsid w:val="005C3FB4"/>
    <w:rsid w:val="005C4A43"/>
    <w:rsid w:val="005C4C19"/>
    <w:rsid w:val="005C52A0"/>
    <w:rsid w:val="005C53F3"/>
    <w:rsid w:val="005C683F"/>
    <w:rsid w:val="005C744F"/>
    <w:rsid w:val="005C7528"/>
    <w:rsid w:val="005D0664"/>
    <w:rsid w:val="005D17B0"/>
    <w:rsid w:val="005D1DE1"/>
    <w:rsid w:val="005D3BDF"/>
    <w:rsid w:val="005D3EF7"/>
    <w:rsid w:val="005D429E"/>
    <w:rsid w:val="005D4DFD"/>
    <w:rsid w:val="005D6027"/>
    <w:rsid w:val="005D792C"/>
    <w:rsid w:val="005E0812"/>
    <w:rsid w:val="005E307F"/>
    <w:rsid w:val="005E4CF3"/>
    <w:rsid w:val="005E50A7"/>
    <w:rsid w:val="005E64C6"/>
    <w:rsid w:val="005E6E98"/>
    <w:rsid w:val="005E786F"/>
    <w:rsid w:val="005E79EB"/>
    <w:rsid w:val="005E7A73"/>
    <w:rsid w:val="005F00C8"/>
    <w:rsid w:val="005F07EC"/>
    <w:rsid w:val="005F1A99"/>
    <w:rsid w:val="005F1BAF"/>
    <w:rsid w:val="005F253B"/>
    <w:rsid w:val="005F3A1C"/>
    <w:rsid w:val="005F4925"/>
    <w:rsid w:val="005F55C7"/>
    <w:rsid w:val="0060032F"/>
    <w:rsid w:val="00600854"/>
    <w:rsid w:val="00600EB2"/>
    <w:rsid w:val="00600F4C"/>
    <w:rsid w:val="006035AA"/>
    <w:rsid w:val="00603D77"/>
    <w:rsid w:val="006058CB"/>
    <w:rsid w:val="00606875"/>
    <w:rsid w:val="00607FE6"/>
    <w:rsid w:val="006105E7"/>
    <w:rsid w:val="006110AF"/>
    <w:rsid w:val="00611118"/>
    <w:rsid w:val="00611708"/>
    <w:rsid w:val="00612686"/>
    <w:rsid w:val="00613868"/>
    <w:rsid w:val="00613936"/>
    <w:rsid w:val="00613F54"/>
    <w:rsid w:val="00615764"/>
    <w:rsid w:val="00616529"/>
    <w:rsid w:val="00617814"/>
    <w:rsid w:val="00620040"/>
    <w:rsid w:val="006207D8"/>
    <w:rsid w:val="00620D6A"/>
    <w:rsid w:val="00621079"/>
    <w:rsid w:val="006212AB"/>
    <w:rsid w:val="006220C8"/>
    <w:rsid w:val="00622882"/>
    <w:rsid w:val="00623422"/>
    <w:rsid w:val="00623EB2"/>
    <w:rsid w:val="00624963"/>
    <w:rsid w:val="00624AB1"/>
    <w:rsid w:val="006303EE"/>
    <w:rsid w:val="006304ED"/>
    <w:rsid w:val="00630661"/>
    <w:rsid w:val="0063109E"/>
    <w:rsid w:val="00633894"/>
    <w:rsid w:val="00635A01"/>
    <w:rsid w:val="00635D96"/>
    <w:rsid w:val="0063639D"/>
    <w:rsid w:val="00640481"/>
    <w:rsid w:val="00640FF5"/>
    <w:rsid w:val="006436D6"/>
    <w:rsid w:val="00643E88"/>
    <w:rsid w:val="0064490B"/>
    <w:rsid w:val="00644E96"/>
    <w:rsid w:val="006462BF"/>
    <w:rsid w:val="006466F7"/>
    <w:rsid w:val="00647594"/>
    <w:rsid w:val="00647EFC"/>
    <w:rsid w:val="00647F48"/>
    <w:rsid w:val="00651D4A"/>
    <w:rsid w:val="0065222E"/>
    <w:rsid w:val="00652676"/>
    <w:rsid w:val="00652879"/>
    <w:rsid w:val="006530E7"/>
    <w:rsid w:val="00653536"/>
    <w:rsid w:val="0065423F"/>
    <w:rsid w:val="00654679"/>
    <w:rsid w:val="00656F52"/>
    <w:rsid w:val="00657701"/>
    <w:rsid w:val="00661873"/>
    <w:rsid w:val="00661A82"/>
    <w:rsid w:val="00662D9D"/>
    <w:rsid w:val="00663FC2"/>
    <w:rsid w:val="00664630"/>
    <w:rsid w:val="006646AF"/>
    <w:rsid w:val="00665C95"/>
    <w:rsid w:val="006662A9"/>
    <w:rsid w:val="00666B2A"/>
    <w:rsid w:val="006675F1"/>
    <w:rsid w:val="006707E6"/>
    <w:rsid w:val="00670972"/>
    <w:rsid w:val="00672371"/>
    <w:rsid w:val="006728D2"/>
    <w:rsid w:val="00673057"/>
    <w:rsid w:val="006750D5"/>
    <w:rsid w:val="00675752"/>
    <w:rsid w:val="00675D75"/>
    <w:rsid w:val="00676AA0"/>
    <w:rsid w:val="00681289"/>
    <w:rsid w:val="006816DC"/>
    <w:rsid w:val="00681E8E"/>
    <w:rsid w:val="00682F39"/>
    <w:rsid w:val="0068358E"/>
    <w:rsid w:val="00684053"/>
    <w:rsid w:val="006841C0"/>
    <w:rsid w:val="006842E2"/>
    <w:rsid w:val="00684D76"/>
    <w:rsid w:val="006861EF"/>
    <w:rsid w:val="0068714C"/>
    <w:rsid w:val="00687D6B"/>
    <w:rsid w:val="00690A22"/>
    <w:rsid w:val="00691CB5"/>
    <w:rsid w:val="00692447"/>
    <w:rsid w:val="00692E3E"/>
    <w:rsid w:val="00692FA3"/>
    <w:rsid w:val="0069347E"/>
    <w:rsid w:val="00693621"/>
    <w:rsid w:val="006937BE"/>
    <w:rsid w:val="006953CE"/>
    <w:rsid w:val="00695552"/>
    <w:rsid w:val="00695988"/>
    <w:rsid w:val="00695EE8"/>
    <w:rsid w:val="00695FC9"/>
    <w:rsid w:val="00696C77"/>
    <w:rsid w:val="00697A33"/>
    <w:rsid w:val="006A0D5A"/>
    <w:rsid w:val="006A11C8"/>
    <w:rsid w:val="006A1E0A"/>
    <w:rsid w:val="006A37E4"/>
    <w:rsid w:val="006A3CF3"/>
    <w:rsid w:val="006A437F"/>
    <w:rsid w:val="006A48AC"/>
    <w:rsid w:val="006A65C6"/>
    <w:rsid w:val="006A7D8D"/>
    <w:rsid w:val="006B12B2"/>
    <w:rsid w:val="006B30E3"/>
    <w:rsid w:val="006B42BA"/>
    <w:rsid w:val="006B47F8"/>
    <w:rsid w:val="006B5BC1"/>
    <w:rsid w:val="006B5CC7"/>
    <w:rsid w:val="006B6119"/>
    <w:rsid w:val="006B69FE"/>
    <w:rsid w:val="006B7621"/>
    <w:rsid w:val="006B7ADA"/>
    <w:rsid w:val="006C0B34"/>
    <w:rsid w:val="006C2B47"/>
    <w:rsid w:val="006C339F"/>
    <w:rsid w:val="006C361F"/>
    <w:rsid w:val="006C595B"/>
    <w:rsid w:val="006C5BA4"/>
    <w:rsid w:val="006C62BE"/>
    <w:rsid w:val="006C7158"/>
    <w:rsid w:val="006C7533"/>
    <w:rsid w:val="006D0728"/>
    <w:rsid w:val="006D0E41"/>
    <w:rsid w:val="006D1C8A"/>
    <w:rsid w:val="006D2206"/>
    <w:rsid w:val="006D2ADA"/>
    <w:rsid w:val="006D44EF"/>
    <w:rsid w:val="006D4B85"/>
    <w:rsid w:val="006E104F"/>
    <w:rsid w:val="006E10B8"/>
    <w:rsid w:val="006E2769"/>
    <w:rsid w:val="006E2A0A"/>
    <w:rsid w:val="006E2E8E"/>
    <w:rsid w:val="006E30CA"/>
    <w:rsid w:val="006E564E"/>
    <w:rsid w:val="006E60B4"/>
    <w:rsid w:val="006E6437"/>
    <w:rsid w:val="006E6CDE"/>
    <w:rsid w:val="006E6D8D"/>
    <w:rsid w:val="006E6EA5"/>
    <w:rsid w:val="006E7656"/>
    <w:rsid w:val="006F00F3"/>
    <w:rsid w:val="006F03FB"/>
    <w:rsid w:val="006F1E72"/>
    <w:rsid w:val="006F229A"/>
    <w:rsid w:val="006F2D81"/>
    <w:rsid w:val="006F3BD7"/>
    <w:rsid w:val="006F3C12"/>
    <w:rsid w:val="006F4069"/>
    <w:rsid w:val="006F42EB"/>
    <w:rsid w:val="006F5BC0"/>
    <w:rsid w:val="006F60CE"/>
    <w:rsid w:val="006F6C7D"/>
    <w:rsid w:val="0070019A"/>
    <w:rsid w:val="00700EFC"/>
    <w:rsid w:val="00701345"/>
    <w:rsid w:val="00702339"/>
    <w:rsid w:val="0070247D"/>
    <w:rsid w:val="00702480"/>
    <w:rsid w:val="00702D79"/>
    <w:rsid w:val="00702D86"/>
    <w:rsid w:val="00704A58"/>
    <w:rsid w:val="00705241"/>
    <w:rsid w:val="007057D6"/>
    <w:rsid w:val="007111B2"/>
    <w:rsid w:val="0071219F"/>
    <w:rsid w:val="00713FD1"/>
    <w:rsid w:val="007151CA"/>
    <w:rsid w:val="00715F49"/>
    <w:rsid w:val="007161FB"/>
    <w:rsid w:val="00716D3B"/>
    <w:rsid w:val="00717F44"/>
    <w:rsid w:val="0072222A"/>
    <w:rsid w:val="00722C5C"/>
    <w:rsid w:val="007230CE"/>
    <w:rsid w:val="00723BD3"/>
    <w:rsid w:val="00724ADE"/>
    <w:rsid w:val="007251F9"/>
    <w:rsid w:val="00725ADB"/>
    <w:rsid w:val="00725B17"/>
    <w:rsid w:val="007310F6"/>
    <w:rsid w:val="00731F8F"/>
    <w:rsid w:val="007322AC"/>
    <w:rsid w:val="00732DCF"/>
    <w:rsid w:val="0073312C"/>
    <w:rsid w:val="0073742A"/>
    <w:rsid w:val="00737B16"/>
    <w:rsid w:val="00743873"/>
    <w:rsid w:val="00743FBE"/>
    <w:rsid w:val="00744674"/>
    <w:rsid w:val="00745F09"/>
    <w:rsid w:val="0074717A"/>
    <w:rsid w:val="0074721B"/>
    <w:rsid w:val="00750576"/>
    <w:rsid w:val="00750F1C"/>
    <w:rsid w:val="00751138"/>
    <w:rsid w:val="0075233C"/>
    <w:rsid w:val="0075321C"/>
    <w:rsid w:val="007543E4"/>
    <w:rsid w:val="00755E80"/>
    <w:rsid w:val="00757CDB"/>
    <w:rsid w:val="00760EAC"/>
    <w:rsid w:val="00764A03"/>
    <w:rsid w:val="0076638C"/>
    <w:rsid w:val="00767918"/>
    <w:rsid w:val="00767D37"/>
    <w:rsid w:val="00767E00"/>
    <w:rsid w:val="0077078D"/>
    <w:rsid w:val="00771140"/>
    <w:rsid w:val="00771956"/>
    <w:rsid w:val="00772599"/>
    <w:rsid w:val="00773B87"/>
    <w:rsid w:val="00774D4F"/>
    <w:rsid w:val="00775D68"/>
    <w:rsid w:val="00776411"/>
    <w:rsid w:val="00777413"/>
    <w:rsid w:val="007806AA"/>
    <w:rsid w:val="00780DB8"/>
    <w:rsid w:val="00780E7E"/>
    <w:rsid w:val="00781D7A"/>
    <w:rsid w:val="0078424B"/>
    <w:rsid w:val="007851AE"/>
    <w:rsid w:val="007853EF"/>
    <w:rsid w:val="00785742"/>
    <w:rsid w:val="007868F9"/>
    <w:rsid w:val="007875CE"/>
    <w:rsid w:val="00787FAF"/>
    <w:rsid w:val="00790064"/>
    <w:rsid w:val="007900D1"/>
    <w:rsid w:val="00791549"/>
    <w:rsid w:val="007919A5"/>
    <w:rsid w:val="00791E53"/>
    <w:rsid w:val="00792791"/>
    <w:rsid w:val="00793B53"/>
    <w:rsid w:val="00793FDF"/>
    <w:rsid w:val="007954A1"/>
    <w:rsid w:val="00795B83"/>
    <w:rsid w:val="007976B8"/>
    <w:rsid w:val="007A03B5"/>
    <w:rsid w:val="007A0B69"/>
    <w:rsid w:val="007A1468"/>
    <w:rsid w:val="007A1C4F"/>
    <w:rsid w:val="007A2CD9"/>
    <w:rsid w:val="007A4177"/>
    <w:rsid w:val="007A5635"/>
    <w:rsid w:val="007A5918"/>
    <w:rsid w:val="007A659C"/>
    <w:rsid w:val="007A6A9F"/>
    <w:rsid w:val="007A6CA5"/>
    <w:rsid w:val="007A70F9"/>
    <w:rsid w:val="007A7335"/>
    <w:rsid w:val="007B12E2"/>
    <w:rsid w:val="007B21BE"/>
    <w:rsid w:val="007B32CC"/>
    <w:rsid w:val="007B42B8"/>
    <w:rsid w:val="007B5EC5"/>
    <w:rsid w:val="007B66BB"/>
    <w:rsid w:val="007C0DC7"/>
    <w:rsid w:val="007C1785"/>
    <w:rsid w:val="007C1BF7"/>
    <w:rsid w:val="007C28F0"/>
    <w:rsid w:val="007C3F29"/>
    <w:rsid w:val="007C560A"/>
    <w:rsid w:val="007C5B83"/>
    <w:rsid w:val="007C781A"/>
    <w:rsid w:val="007C7840"/>
    <w:rsid w:val="007C7B7A"/>
    <w:rsid w:val="007C7BC7"/>
    <w:rsid w:val="007D0484"/>
    <w:rsid w:val="007D2364"/>
    <w:rsid w:val="007D2423"/>
    <w:rsid w:val="007D242E"/>
    <w:rsid w:val="007D3462"/>
    <w:rsid w:val="007D4212"/>
    <w:rsid w:val="007D5051"/>
    <w:rsid w:val="007D5700"/>
    <w:rsid w:val="007D5E71"/>
    <w:rsid w:val="007D6238"/>
    <w:rsid w:val="007D628B"/>
    <w:rsid w:val="007D6751"/>
    <w:rsid w:val="007D6B7A"/>
    <w:rsid w:val="007E0162"/>
    <w:rsid w:val="007E1C60"/>
    <w:rsid w:val="007E26F9"/>
    <w:rsid w:val="007E2737"/>
    <w:rsid w:val="007E30D7"/>
    <w:rsid w:val="007E349E"/>
    <w:rsid w:val="007E4402"/>
    <w:rsid w:val="007E5C96"/>
    <w:rsid w:val="007E687D"/>
    <w:rsid w:val="007E7F9B"/>
    <w:rsid w:val="007F0489"/>
    <w:rsid w:val="007F053E"/>
    <w:rsid w:val="007F2082"/>
    <w:rsid w:val="007F26AC"/>
    <w:rsid w:val="007F285D"/>
    <w:rsid w:val="007F30CA"/>
    <w:rsid w:val="007F4453"/>
    <w:rsid w:val="007F478B"/>
    <w:rsid w:val="007F63F1"/>
    <w:rsid w:val="007F6502"/>
    <w:rsid w:val="007F7D07"/>
    <w:rsid w:val="008004F1"/>
    <w:rsid w:val="00800615"/>
    <w:rsid w:val="00800A5E"/>
    <w:rsid w:val="00800B7E"/>
    <w:rsid w:val="00803262"/>
    <w:rsid w:val="00803B1F"/>
    <w:rsid w:val="00806D26"/>
    <w:rsid w:val="0081043B"/>
    <w:rsid w:val="00811B93"/>
    <w:rsid w:val="00812F12"/>
    <w:rsid w:val="0081392C"/>
    <w:rsid w:val="00814D96"/>
    <w:rsid w:val="008158B3"/>
    <w:rsid w:val="00815937"/>
    <w:rsid w:val="00815C11"/>
    <w:rsid w:val="00816592"/>
    <w:rsid w:val="008166CE"/>
    <w:rsid w:val="008201A3"/>
    <w:rsid w:val="00821E1D"/>
    <w:rsid w:val="00822578"/>
    <w:rsid w:val="0082304A"/>
    <w:rsid w:val="00823A84"/>
    <w:rsid w:val="00824305"/>
    <w:rsid w:val="00825020"/>
    <w:rsid w:val="008263A3"/>
    <w:rsid w:val="0082795F"/>
    <w:rsid w:val="00827EBD"/>
    <w:rsid w:val="00831A2A"/>
    <w:rsid w:val="0083436F"/>
    <w:rsid w:val="00835772"/>
    <w:rsid w:val="0084013B"/>
    <w:rsid w:val="008402CA"/>
    <w:rsid w:val="00840768"/>
    <w:rsid w:val="008407CA"/>
    <w:rsid w:val="008413D0"/>
    <w:rsid w:val="00841E21"/>
    <w:rsid w:val="008422C3"/>
    <w:rsid w:val="0084403A"/>
    <w:rsid w:val="0084660C"/>
    <w:rsid w:val="008473A0"/>
    <w:rsid w:val="00850AED"/>
    <w:rsid w:val="008510C4"/>
    <w:rsid w:val="008517CC"/>
    <w:rsid w:val="00851CF4"/>
    <w:rsid w:val="008524F0"/>
    <w:rsid w:val="00855553"/>
    <w:rsid w:val="00856168"/>
    <w:rsid w:val="00860008"/>
    <w:rsid w:val="00860F3D"/>
    <w:rsid w:val="00861F05"/>
    <w:rsid w:val="0086340E"/>
    <w:rsid w:val="008662C7"/>
    <w:rsid w:val="008663F5"/>
    <w:rsid w:val="008667CE"/>
    <w:rsid w:val="008668A8"/>
    <w:rsid w:val="0086713F"/>
    <w:rsid w:val="00867DA8"/>
    <w:rsid w:val="0087053B"/>
    <w:rsid w:val="00871F33"/>
    <w:rsid w:val="00872943"/>
    <w:rsid w:val="00872AAD"/>
    <w:rsid w:val="00874A9F"/>
    <w:rsid w:val="00875EF8"/>
    <w:rsid w:val="0087683E"/>
    <w:rsid w:val="008771E6"/>
    <w:rsid w:val="00877B13"/>
    <w:rsid w:val="00880279"/>
    <w:rsid w:val="008822D0"/>
    <w:rsid w:val="00883D37"/>
    <w:rsid w:val="00886209"/>
    <w:rsid w:val="00886791"/>
    <w:rsid w:val="00887112"/>
    <w:rsid w:val="00890080"/>
    <w:rsid w:val="008902FD"/>
    <w:rsid w:val="00891D5D"/>
    <w:rsid w:val="0089281B"/>
    <w:rsid w:val="00892C7D"/>
    <w:rsid w:val="00892E5A"/>
    <w:rsid w:val="00892FFE"/>
    <w:rsid w:val="008943F4"/>
    <w:rsid w:val="00894675"/>
    <w:rsid w:val="0089543E"/>
    <w:rsid w:val="0089599E"/>
    <w:rsid w:val="00896ECB"/>
    <w:rsid w:val="008975D1"/>
    <w:rsid w:val="008977D0"/>
    <w:rsid w:val="008A1017"/>
    <w:rsid w:val="008A148B"/>
    <w:rsid w:val="008A1794"/>
    <w:rsid w:val="008A2732"/>
    <w:rsid w:val="008A2953"/>
    <w:rsid w:val="008A2E63"/>
    <w:rsid w:val="008A2E8A"/>
    <w:rsid w:val="008A3D3B"/>
    <w:rsid w:val="008A77BE"/>
    <w:rsid w:val="008A7D0E"/>
    <w:rsid w:val="008A7DCE"/>
    <w:rsid w:val="008B06AB"/>
    <w:rsid w:val="008B0C77"/>
    <w:rsid w:val="008B237F"/>
    <w:rsid w:val="008B2B45"/>
    <w:rsid w:val="008B2BBE"/>
    <w:rsid w:val="008B3B03"/>
    <w:rsid w:val="008B4120"/>
    <w:rsid w:val="008B4365"/>
    <w:rsid w:val="008B47A3"/>
    <w:rsid w:val="008B5B53"/>
    <w:rsid w:val="008B613F"/>
    <w:rsid w:val="008B6F7D"/>
    <w:rsid w:val="008C1661"/>
    <w:rsid w:val="008C167D"/>
    <w:rsid w:val="008C168B"/>
    <w:rsid w:val="008C1F29"/>
    <w:rsid w:val="008C2D38"/>
    <w:rsid w:val="008C3EED"/>
    <w:rsid w:val="008C4A2A"/>
    <w:rsid w:val="008C53EC"/>
    <w:rsid w:val="008C549F"/>
    <w:rsid w:val="008C5B1E"/>
    <w:rsid w:val="008D0991"/>
    <w:rsid w:val="008D0FA8"/>
    <w:rsid w:val="008D1969"/>
    <w:rsid w:val="008D2264"/>
    <w:rsid w:val="008D3E3C"/>
    <w:rsid w:val="008D4E76"/>
    <w:rsid w:val="008D6A61"/>
    <w:rsid w:val="008D6B82"/>
    <w:rsid w:val="008D7439"/>
    <w:rsid w:val="008D77A8"/>
    <w:rsid w:val="008E11A6"/>
    <w:rsid w:val="008E3088"/>
    <w:rsid w:val="008E41BC"/>
    <w:rsid w:val="008E5B02"/>
    <w:rsid w:val="008E72A2"/>
    <w:rsid w:val="008E7C6C"/>
    <w:rsid w:val="008E7E65"/>
    <w:rsid w:val="008F01A6"/>
    <w:rsid w:val="008F04F0"/>
    <w:rsid w:val="008F238C"/>
    <w:rsid w:val="008F3A2D"/>
    <w:rsid w:val="008F415D"/>
    <w:rsid w:val="008F5C85"/>
    <w:rsid w:val="008F627D"/>
    <w:rsid w:val="008F6F8E"/>
    <w:rsid w:val="008F76B0"/>
    <w:rsid w:val="00902199"/>
    <w:rsid w:val="0090474C"/>
    <w:rsid w:val="009055E1"/>
    <w:rsid w:val="00905A05"/>
    <w:rsid w:val="00905EA4"/>
    <w:rsid w:val="00907C5D"/>
    <w:rsid w:val="00907CB1"/>
    <w:rsid w:val="009100A8"/>
    <w:rsid w:val="0091026F"/>
    <w:rsid w:val="00910CCD"/>
    <w:rsid w:val="00910DA2"/>
    <w:rsid w:val="009115B6"/>
    <w:rsid w:val="009119B5"/>
    <w:rsid w:val="00911C0E"/>
    <w:rsid w:val="009124B8"/>
    <w:rsid w:val="00913268"/>
    <w:rsid w:val="0091388A"/>
    <w:rsid w:val="00915A22"/>
    <w:rsid w:val="00917B58"/>
    <w:rsid w:val="00920127"/>
    <w:rsid w:val="009211A5"/>
    <w:rsid w:val="009213A4"/>
    <w:rsid w:val="009217B3"/>
    <w:rsid w:val="009219E1"/>
    <w:rsid w:val="00921D35"/>
    <w:rsid w:val="00921F08"/>
    <w:rsid w:val="00922A1C"/>
    <w:rsid w:val="00922DF3"/>
    <w:rsid w:val="00923055"/>
    <w:rsid w:val="0092314E"/>
    <w:rsid w:val="009241B5"/>
    <w:rsid w:val="00925603"/>
    <w:rsid w:val="009257C6"/>
    <w:rsid w:val="00925924"/>
    <w:rsid w:val="00925BB4"/>
    <w:rsid w:val="00926D10"/>
    <w:rsid w:val="00927553"/>
    <w:rsid w:val="00927F53"/>
    <w:rsid w:val="00930113"/>
    <w:rsid w:val="009304F2"/>
    <w:rsid w:val="00930821"/>
    <w:rsid w:val="00930BA2"/>
    <w:rsid w:val="00930F1A"/>
    <w:rsid w:val="00931288"/>
    <w:rsid w:val="009313FD"/>
    <w:rsid w:val="0093345C"/>
    <w:rsid w:val="009345F2"/>
    <w:rsid w:val="00935B68"/>
    <w:rsid w:val="00936116"/>
    <w:rsid w:val="009369E6"/>
    <w:rsid w:val="00937B7D"/>
    <w:rsid w:val="00940697"/>
    <w:rsid w:val="00941E02"/>
    <w:rsid w:val="0094433D"/>
    <w:rsid w:val="009449B8"/>
    <w:rsid w:val="00944E88"/>
    <w:rsid w:val="00945CE3"/>
    <w:rsid w:val="00946FE4"/>
    <w:rsid w:val="009471F9"/>
    <w:rsid w:val="009477A5"/>
    <w:rsid w:val="0094795A"/>
    <w:rsid w:val="00947F59"/>
    <w:rsid w:val="00950D72"/>
    <w:rsid w:val="00950E2E"/>
    <w:rsid w:val="00951C3C"/>
    <w:rsid w:val="00951ED1"/>
    <w:rsid w:val="00952BF2"/>
    <w:rsid w:val="00954262"/>
    <w:rsid w:val="00954E67"/>
    <w:rsid w:val="009555FC"/>
    <w:rsid w:val="00955ABD"/>
    <w:rsid w:val="00955B81"/>
    <w:rsid w:val="00956489"/>
    <w:rsid w:val="009564EF"/>
    <w:rsid w:val="009577E3"/>
    <w:rsid w:val="009579BE"/>
    <w:rsid w:val="009619C8"/>
    <w:rsid w:val="009632CE"/>
    <w:rsid w:val="00966A9F"/>
    <w:rsid w:val="00966B82"/>
    <w:rsid w:val="0097078D"/>
    <w:rsid w:val="009743C6"/>
    <w:rsid w:val="00974EEE"/>
    <w:rsid w:val="009754A9"/>
    <w:rsid w:val="00977763"/>
    <w:rsid w:val="009828B5"/>
    <w:rsid w:val="009836CB"/>
    <w:rsid w:val="00983838"/>
    <w:rsid w:val="009840D2"/>
    <w:rsid w:val="009863B3"/>
    <w:rsid w:val="00987360"/>
    <w:rsid w:val="009875A8"/>
    <w:rsid w:val="00987BCC"/>
    <w:rsid w:val="00987C4E"/>
    <w:rsid w:val="00991230"/>
    <w:rsid w:val="00991AB4"/>
    <w:rsid w:val="009932EE"/>
    <w:rsid w:val="009933F8"/>
    <w:rsid w:val="00993814"/>
    <w:rsid w:val="00993AC1"/>
    <w:rsid w:val="00993C4B"/>
    <w:rsid w:val="00993CDD"/>
    <w:rsid w:val="00994211"/>
    <w:rsid w:val="009963B3"/>
    <w:rsid w:val="00996642"/>
    <w:rsid w:val="009966DD"/>
    <w:rsid w:val="009977DA"/>
    <w:rsid w:val="009A00C0"/>
    <w:rsid w:val="009A088F"/>
    <w:rsid w:val="009A0C69"/>
    <w:rsid w:val="009A1304"/>
    <w:rsid w:val="009A1A60"/>
    <w:rsid w:val="009A2809"/>
    <w:rsid w:val="009A29ED"/>
    <w:rsid w:val="009A318E"/>
    <w:rsid w:val="009A3BE2"/>
    <w:rsid w:val="009A3FE4"/>
    <w:rsid w:val="009A43B6"/>
    <w:rsid w:val="009A4B9D"/>
    <w:rsid w:val="009A5383"/>
    <w:rsid w:val="009A7395"/>
    <w:rsid w:val="009B0BE8"/>
    <w:rsid w:val="009B0CD8"/>
    <w:rsid w:val="009B14E3"/>
    <w:rsid w:val="009B20C9"/>
    <w:rsid w:val="009B3125"/>
    <w:rsid w:val="009B33DC"/>
    <w:rsid w:val="009B3CB5"/>
    <w:rsid w:val="009B47C6"/>
    <w:rsid w:val="009B55C7"/>
    <w:rsid w:val="009B5BD3"/>
    <w:rsid w:val="009B7215"/>
    <w:rsid w:val="009B72D3"/>
    <w:rsid w:val="009C0809"/>
    <w:rsid w:val="009C2A11"/>
    <w:rsid w:val="009C312C"/>
    <w:rsid w:val="009C3BE5"/>
    <w:rsid w:val="009C57EB"/>
    <w:rsid w:val="009C6A5A"/>
    <w:rsid w:val="009C6E55"/>
    <w:rsid w:val="009D134E"/>
    <w:rsid w:val="009D29F5"/>
    <w:rsid w:val="009D6921"/>
    <w:rsid w:val="009E0111"/>
    <w:rsid w:val="009E03AA"/>
    <w:rsid w:val="009E0DA5"/>
    <w:rsid w:val="009E160F"/>
    <w:rsid w:val="009E19CD"/>
    <w:rsid w:val="009E1ED7"/>
    <w:rsid w:val="009E2764"/>
    <w:rsid w:val="009E298A"/>
    <w:rsid w:val="009E2AAE"/>
    <w:rsid w:val="009E3618"/>
    <w:rsid w:val="009E3687"/>
    <w:rsid w:val="009E5DEC"/>
    <w:rsid w:val="009E7C01"/>
    <w:rsid w:val="009F216F"/>
    <w:rsid w:val="009F217B"/>
    <w:rsid w:val="009F474C"/>
    <w:rsid w:val="009F59B1"/>
    <w:rsid w:val="009F69AB"/>
    <w:rsid w:val="009F7820"/>
    <w:rsid w:val="009F7944"/>
    <w:rsid w:val="00A006E1"/>
    <w:rsid w:val="00A0188E"/>
    <w:rsid w:val="00A02FAC"/>
    <w:rsid w:val="00A03235"/>
    <w:rsid w:val="00A03737"/>
    <w:rsid w:val="00A04FF4"/>
    <w:rsid w:val="00A059BC"/>
    <w:rsid w:val="00A05B73"/>
    <w:rsid w:val="00A0738A"/>
    <w:rsid w:val="00A075C5"/>
    <w:rsid w:val="00A07783"/>
    <w:rsid w:val="00A115A0"/>
    <w:rsid w:val="00A12307"/>
    <w:rsid w:val="00A13003"/>
    <w:rsid w:val="00A13055"/>
    <w:rsid w:val="00A135D4"/>
    <w:rsid w:val="00A14003"/>
    <w:rsid w:val="00A1408C"/>
    <w:rsid w:val="00A14D89"/>
    <w:rsid w:val="00A15C68"/>
    <w:rsid w:val="00A16004"/>
    <w:rsid w:val="00A16371"/>
    <w:rsid w:val="00A201D9"/>
    <w:rsid w:val="00A20793"/>
    <w:rsid w:val="00A21DA8"/>
    <w:rsid w:val="00A23019"/>
    <w:rsid w:val="00A24205"/>
    <w:rsid w:val="00A24F70"/>
    <w:rsid w:val="00A26391"/>
    <w:rsid w:val="00A269BD"/>
    <w:rsid w:val="00A27098"/>
    <w:rsid w:val="00A30527"/>
    <w:rsid w:val="00A3084A"/>
    <w:rsid w:val="00A30AF5"/>
    <w:rsid w:val="00A3107F"/>
    <w:rsid w:val="00A3143E"/>
    <w:rsid w:val="00A315B4"/>
    <w:rsid w:val="00A3167C"/>
    <w:rsid w:val="00A3170D"/>
    <w:rsid w:val="00A3374C"/>
    <w:rsid w:val="00A33A11"/>
    <w:rsid w:val="00A343A3"/>
    <w:rsid w:val="00A346E2"/>
    <w:rsid w:val="00A34E83"/>
    <w:rsid w:val="00A366E1"/>
    <w:rsid w:val="00A36F2F"/>
    <w:rsid w:val="00A4031C"/>
    <w:rsid w:val="00A40DAF"/>
    <w:rsid w:val="00A41788"/>
    <w:rsid w:val="00A4198E"/>
    <w:rsid w:val="00A41990"/>
    <w:rsid w:val="00A41DDA"/>
    <w:rsid w:val="00A42ACE"/>
    <w:rsid w:val="00A42D57"/>
    <w:rsid w:val="00A46413"/>
    <w:rsid w:val="00A46A2E"/>
    <w:rsid w:val="00A472E0"/>
    <w:rsid w:val="00A479CF"/>
    <w:rsid w:val="00A506B9"/>
    <w:rsid w:val="00A536A5"/>
    <w:rsid w:val="00A55241"/>
    <w:rsid w:val="00A552DA"/>
    <w:rsid w:val="00A5763B"/>
    <w:rsid w:val="00A577B2"/>
    <w:rsid w:val="00A60436"/>
    <w:rsid w:val="00A60A08"/>
    <w:rsid w:val="00A60D0F"/>
    <w:rsid w:val="00A6154C"/>
    <w:rsid w:val="00A61F6A"/>
    <w:rsid w:val="00A638D2"/>
    <w:rsid w:val="00A63C94"/>
    <w:rsid w:val="00A63DA8"/>
    <w:rsid w:val="00A64538"/>
    <w:rsid w:val="00A64750"/>
    <w:rsid w:val="00A64E30"/>
    <w:rsid w:val="00A65048"/>
    <w:rsid w:val="00A65580"/>
    <w:rsid w:val="00A65E1D"/>
    <w:rsid w:val="00A65FE5"/>
    <w:rsid w:val="00A66859"/>
    <w:rsid w:val="00A67C72"/>
    <w:rsid w:val="00A67E00"/>
    <w:rsid w:val="00A70DCB"/>
    <w:rsid w:val="00A719F9"/>
    <w:rsid w:val="00A725B5"/>
    <w:rsid w:val="00A732D2"/>
    <w:rsid w:val="00A74038"/>
    <w:rsid w:val="00A74E56"/>
    <w:rsid w:val="00A75BA4"/>
    <w:rsid w:val="00A75F92"/>
    <w:rsid w:val="00A76BCC"/>
    <w:rsid w:val="00A776E9"/>
    <w:rsid w:val="00A77F0D"/>
    <w:rsid w:val="00A80602"/>
    <w:rsid w:val="00A80DC3"/>
    <w:rsid w:val="00A81164"/>
    <w:rsid w:val="00A81291"/>
    <w:rsid w:val="00A815C2"/>
    <w:rsid w:val="00A81DEB"/>
    <w:rsid w:val="00A82D42"/>
    <w:rsid w:val="00A8378A"/>
    <w:rsid w:val="00A85585"/>
    <w:rsid w:val="00A85981"/>
    <w:rsid w:val="00A859AD"/>
    <w:rsid w:val="00A86160"/>
    <w:rsid w:val="00A86A6C"/>
    <w:rsid w:val="00A872C2"/>
    <w:rsid w:val="00A8731E"/>
    <w:rsid w:val="00A900C3"/>
    <w:rsid w:val="00A9035E"/>
    <w:rsid w:val="00A9079F"/>
    <w:rsid w:val="00A9317F"/>
    <w:rsid w:val="00A93275"/>
    <w:rsid w:val="00A93711"/>
    <w:rsid w:val="00A937FA"/>
    <w:rsid w:val="00A94A96"/>
    <w:rsid w:val="00A9570D"/>
    <w:rsid w:val="00A95BC2"/>
    <w:rsid w:val="00A95D95"/>
    <w:rsid w:val="00A95D97"/>
    <w:rsid w:val="00A96A7E"/>
    <w:rsid w:val="00A9743E"/>
    <w:rsid w:val="00A974DE"/>
    <w:rsid w:val="00AA0067"/>
    <w:rsid w:val="00AA26A2"/>
    <w:rsid w:val="00AA2A07"/>
    <w:rsid w:val="00AA2BB2"/>
    <w:rsid w:val="00AA3350"/>
    <w:rsid w:val="00AA34F2"/>
    <w:rsid w:val="00AA3942"/>
    <w:rsid w:val="00AA4AD1"/>
    <w:rsid w:val="00AA5C74"/>
    <w:rsid w:val="00AA6223"/>
    <w:rsid w:val="00AA627E"/>
    <w:rsid w:val="00AA6ACE"/>
    <w:rsid w:val="00AA77DD"/>
    <w:rsid w:val="00AB1170"/>
    <w:rsid w:val="00AB23BB"/>
    <w:rsid w:val="00AB2811"/>
    <w:rsid w:val="00AB3E1D"/>
    <w:rsid w:val="00AB49F7"/>
    <w:rsid w:val="00AB6AF0"/>
    <w:rsid w:val="00AB732A"/>
    <w:rsid w:val="00AC09CA"/>
    <w:rsid w:val="00AC0F85"/>
    <w:rsid w:val="00AC11A7"/>
    <w:rsid w:val="00AC16A9"/>
    <w:rsid w:val="00AC24AE"/>
    <w:rsid w:val="00AC36C3"/>
    <w:rsid w:val="00AC42DE"/>
    <w:rsid w:val="00AC488C"/>
    <w:rsid w:val="00AC4CD3"/>
    <w:rsid w:val="00AC4CDE"/>
    <w:rsid w:val="00AC5545"/>
    <w:rsid w:val="00AC62F2"/>
    <w:rsid w:val="00AC66A2"/>
    <w:rsid w:val="00AC6B91"/>
    <w:rsid w:val="00AD02D2"/>
    <w:rsid w:val="00AD140C"/>
    <w:rsid w:val="00AD2524"/>
    <w:rsid w:val="00AD2C60"/>
    <w:rsid w:val="00AD2D87"/>
    <w:rsid w:val="00AD351E"/>
    <w:rsid w:val="00AD3BF5"/>
    <w:rsid w:val="00AD48FB"/>
    <w:rsid w:val="00AD55B4"/>
    <w:rsid w:val="00AD584B"/>
    <w:rsid w:val="00AD591F"/>
    <w:rsid w:val="00AD5B28"/>
    <w:rsid w:val="00AD5CC0"/>
    <w:rsid w:val="00AD660E"/>
    <w:rsid w:val="00AD6BA1"/>
    <w:rsid w:val="00AD6BE6"/>
    <w:rsid w:val="00AD6DF8"/>
    <w:rsid w:val="00AD7F69"/>
    <w:rsid w:val="00AE0485"/>
    <w:rsid w:val="00AE0A04"/>
    <w:rsid w:val="00AE1089"/>
    <w:rsid w:val="00AE1A73"/>
    <w:rsid w:val="00AE38B5"/>
    <w:rsid w:val="00AE6EC7"/>
    <w:rsid w:val="00AF0A94"/>
    <w:rsid w:val="00AF40D7"/>
    <w:rsid w:val="00AF498E"/>
    <w:rsid w:val="00AF6E4C"/>
    <w:rsid w:val="00AF7752"/>
    <w:rsid w:val="00B01CF9"/>
    <w:rsid w:val="00B01F00"/>
    <w:rsid w:val="00B02608"/>
    <w:rsid w:val="00B02984"/>
    <w:rsid w:val="00B0326E"/>
    <w:rsid w:val="00B034AA"/>
    <w:rsid w:val="00B03950"/>
    <w:rsid w:val="00B049C3"/>
    <w:rsid w:val="00B0792E"/>
    <w:rsid w:val="00B104E9"/>
    <w:rsid w:val="00B10D82"/>
    <w:rsid w:val="00B12CB7"/>
    <w:rsid w:val="00B1357F"/>
    <w:rsid w:val="00B13CD8"/>
    <w:rsid w:val="00B141D0"/>
    <w:rsid w:val="00B14918"/>
    <w:rsid w:val="00B17A7B"/>
    <w:rsid w:val="00B17B63"/>
    <w:rsid w:val="00B204BD"/>
    <w:rsid w:val="00B205C4"/>
    <w:rsid w:val="00B21D22"/>
    <w:rsid w:val="00B23805"/>
    <w:rsid w:val="00B245B9"/>
    <w:rsid w:val="00B24D97"/>
    <w:rsid w:val="00B24E8A"/>
    <w:rsid w:val="00B25EA0"/>
    <w:rsid w:val="00B267E6"/>
    <w:rsid w:val="00B26B46"/>
    <w:rsid w:val="00B26F0B"/>
    <w:rsid w:val="00B27F2E"/>
    <w:rsid w:val="00B30174"/>
    <w:rsid w:val="00B30878"/>
    <w:rsid w:val="00B315C6"/>
    <w:rsid w:val="00B34976"/>
    <w:rsid w:val="00B353C9"/>
    <w:rsid w:val="00B35649"/>
    <w:rsid w:val="00B35BC3"/>
    <w:rsid w:val="00B35D29"/>
    <w:rsid w:val="00B36F8D"/>
    <w:rsid w:val="00B36FE7"/>
    <w:rsid w:val="00B40EBC"/>
    <w:rsid w:val="00B424F5"/>
    <w:rsid w:val="00B42C1C"/>
    <w:rsid w:val="00B432F7"/>
    <w:rsid w:val="00B45154"/>
    <w:rsid w:val="00B50521"/>
    <w:rsid w:val="00B516D2"/>
    <w:rsid w:val="00B52EDB"/>
    <w:rsid w:val="00B55116"/>
    <w:rsid w:val="00B5567C"/>
    <w:rsid w:val="00B57DC7"/>
    <w:rsid w:val="00B57F7D"/>
    <w:rsid w:val="00B6007D"/>
    <w:rsid w:val="00B603AE"/>
    <w:rsid w:val="00B60672"/>
    <w:rsid w:val="00B60824"/>
    <w:rsid w:val="00B6142E"/>
    <w:rsid w:val="00B6187E"/>
    <w:rsid w:val="00B6287E"/>
    <w:rsid w:val="00B62C18"/>
    <w:rsid w:val="00B63F86"/>
    <w:rsid w:val="00B66E8F"/>
    <w:rsid w:val="00B67263"/>
    <w:rsid w:val="00B709AB"/>
    <w:rsid w:val="00B712A7"/>
    <w:rsid w:val="00B72420"/>
    <w:rsid w:val="00B72CC6"/>
    <w:rsid w:val="00B72D2A"/>
    <w:rsid w:val="00B73334"/>
    <w:rsid w:val="00B7489E"/>
    <w:rsid w:val="00B751AC"/>
    <w:rsid w:val="00B757DF"/>
    <w:rsid w:val="00B75977"/>
    <w:rsid w:val="00B761D3"/>
    <w:rsid w:val="00B768F2"/>
    <w:rsid w:val="00B804C6"/>
    <w:rsid w:val="00B80B76"/>
    <w:rsid w:val="00B81892"/>
    <w:rsid w:val="00B8191D"/>
    <w:rsid w:val="00B819C8"/>
    <w:rsid w:val="00B81C9E"/>
    <w:rsid w:val="00B84308"/>
    <w:rsid w:val="00B843A9"/>
    <w:rsid w:val="00B856C1"/>
    <w:rsid w:val="00B864B6"/>
    <w:rsid w:val="00B86D1C"/>
    <w:rsid w:val="00B870FC"/>
    <w:rsid w:val="00B87327"/>
    <w:rsid w:val="00B87A0B"/>
    <w:rsid w:val="00B906E7"/>
    <w:rsid w:val="00B9075B"/>
    <w:rsid w:val="00B928CB"/>
    <w:rsid w:val="00B92C1E"/>
    <w:rsid w:val="00B93347"/>
    <w:rsid w:val="00B93799"/>
    <w:rsid w:val="00B94600"/>
    <w:rsid w:val="00B94A04"/>
    <w:rsid w:val="00B96308"/>
    <w:rsid w:val="00B97926"/>
    <w:rsid w:val="00BA0621"/>
    <w:rsid w:val="00BA1D39"/>
    <w:rsid w:val="00BA34EC"/>
    <w:rsid w:val="00BA55F4"/>
    <w:rsid w:val="00BA64BE"/>
    <w:rsid w:val="00BA790E"/>
    <w:rsid w:val="00BA7BB1"/>
    <w:rsid w:val="00BB33CA"/>
    <w:rsid w:val="00BB4B6C"/>
    <w:rsid w:val="00BB4BAA"/>
    <w:rsid w:val="00BB53EA"/>
    <w:rsid w:val="00BB6880"/>
    <w:rsid w:val="00BB6EB1"/>
    <w:rsid w:val="00BB70A3"/>
    <w:rsid w:val="00BB790F"/>
    <w:rsid w:val="00BC0C64"/>
    <w:rsid w:val="00BC1F55"/>
    <w:rsid w:val="00BC3020"/>
    <w:rsid w:val="00BC3198"/>
    <w:rsid w:val="00BC40CE"/>
    <w:rsid w:val="00BC4ECC"/>
    <w:rsid w:val="00BC5200"/>
    <w:rsid w:val="00BC59FC"/>
    <w:rsid w:val="00BC5DB8"/>
    <w:rsid w:val="00BC5F1A"/>
    <w:rsid w:val="00BC64EC"/>
    <w:rsid w:val="00BC6D17"/>
    <w:rsid w:val="00BC7990"/>
    <w:rsid w:val="00BD29F5"/>
    <w:rsid w:val="00BD2A4C"/>
    <w:rsid w:val="00BD2E46"/>
    <w:rsid w:val="00BD377E"/>
    <w:rsid w:val="00BD3E15"/>
    <w:rsid w:val="00BD4992"/>
    <w:rsid w:val="00BD4C80"/>
    <w:rsid w:val="00BD5799"/>
    <w:rsid w:val="00BD5A2E"/>
    <w:rsid w:val="00BE1480"/>
    <w:rsid w:val="00BE1BC5"/>
    <w:rsid w:val="00BE2180"/>
    <w:rsid w:val="00BE2DAE"/>
    <w:rsid w:val="00BE3047"/>
    <w:rsid w:val="00BE413D"/>
    <w:rsid w:val="00BE44FB"/>
    <w:rsid w:val="00BE4CF3"/>
    <w:rsid w:val="00BE6542"/>
    <w:rsid w:val="00BE70B6"/>
    <w:rsid w:val="00BF0158"/>
    <w:rsid w:val="00BF049C"/>
    <w:rsid w:val="00BF3071"/>
    <w:rsid w:val="00BF3251"/>
    <w:rsid w:val="00BF51CA"/>
    <w:rsid w:val="00BF59C4"/>
    <w:rsid w:val="00BF6711"/>
    <w:rsid w:val="00BF68A9"/>
    <w:rsid w:val="00BF6C82"/>
    <w:rsid w:val="00BF7B67"/>
    <w:rsid w:val="00C003E4"/>
    <w:rsid w:val="00C00AB6"/>
    <w:rsid w:val="00C00CB3"/>
    <w:rsid w:val="00C010C9"/>
    <w:rsid w:val="00C01112"/>
    <w:rsid w:val="00C01EE8"/>
    <w:rsid w:val="00C01F33"/>
    <w:rsid w:val="00C03B30"/>
    <w:rsid w:val="00C03F4E"/>
    <w:rsid w:val="00C04703"/>
    <w:rsid w:val="00C0668E"/>
    <w:rsid w:val="00C06D3B"/>
    <w:rsid w:val="00C1225F"/>
    <w:rsid w:val="00C130D5"/>
    <w:rsid w:val="00C142FB"/>
    <w:rsid w:val="00C14A9E"/>
    <w:rsid w:val="00C220A2"/>
    <w:rsid w:val="00C22204"/>
    <w:rsid w:val="00C22790"/>
    <w:rsid w:val="00C23B02"/>
    <w:rsid w:val="00C24176"/>
    <w:rsid w:val="00C24278"/>
    <w:rsid w:val="00C246D1"/>
    <w:rsid w:val="00C25408"/>
    <w:rsid w:val="00C25A49"/>
    <w:rsid w:val="00C26E92"/>
    <w:rsid w:val="00C3047E"/>
    <w:rsid w:val="00C30ED8"/>
    <w:rsid w:val="00C33DFA"/>
    <w:rsid w:val="00C35687"/>
    <w:rsid w:val="00C35B0C"/>
    <w:rsid w:val="00C36D3F"/>
    <w:rsid w:val="00C36D95"/>
    <w:rsid w:val="00C40971"/>
    <w:rsid w:val="00C412CF"/>
    <w:rsid w:val="00C4208F"/>
    <w:rsid w:val="00C42415"/>
    <w:rsid w:val="00C43B7C"/>
    <w:rsid w:val="00C44730"/>
    <w:rsid w:val="00C4483A"/>
    <w:rsid w:val="00C45074"/>
    <w:rsid w:val="00C465BE"/>
    <w:rsid w:val="00C46AA0"/>
    <w:rsid w:val="00C46EFC"/>
    <w:rsid w:val="00C5001E"/>
    <w:rsid w:val="00C508D6"/>
    <w:rsid w:val="00C5100E"/>
    <w:rsid w:val="00C51A31"/>
    <w:rsid w:val="00C529B7"/>
    <w:rsid w:val="00C538BE"/>
    <w:rsid w:val="00C55697"/>
    <w:rsid w:val="00C55C14"/>
    <w:rsid w:val="00C55F45"/>
    <w:rsid w:val="00C575A7"/>
    <w:rsid w:val="00C57C8D"/>
    <w:rsid w:val="00C60589"/>
    <w:rsid w:val="00C619E9"/>
    <w:rsid w:val="00C63945"/>
    <w:rsid w:val="00C65D04"/>
    <w:rsid w:val="00C6797A"/>
    <w:rsid w:val="00C67A78"/>
    <w:rsid w:val="00C67B2A"/>
    <w:rsid w:val="00C72131"/>
    <w:rsid w:val="00C7236B"/>
    <w:rsid w:val="00C72499"/>
    <w:rsid w:val="00C73FAC"/>
    <w:rsid w:val="00C74B4B"/>
    <w:rsid w:val="00C75023"/>
    <w:rsid w:val="00C75716"/>
    <w:rsid w:val="00C76696"/>
    <w:rsid w:val="00C76FCE"/>
    <w:rsid w:val="00C775EC"/>
    <w:rsid w:val="00C77883"/>
    <w:rsid w:val="00C77D84"/>
    <w:rsid w:val="00C80834"/>
    <w:rsid w:val="00C8103B"/>
    <w:rsid w:val="00C81448"/>
    <w:rsid w:val="00C8196E"/>
    <w:rsid w:val="00C821B0"/>
    <w:rsid w:val="00C82842"/>
    <w:rsid w:val="00C8291F"/>
    <w:rsid w:val="00C83C18"/>
    <w:rsid w:val="00C845B6"/>
    <w:rsid w:val="00C8552A"/>
    <w:rsid w:val="00C85618"/>
    <w:rsid w:val="00C85908"/>
    <w:rsid w:val="00C86CC4"/>
    <w:rsid w:val="00C875B0"/>
    <w:rsid w:val="00C918AB"/>
    <w:rsid w:val="00C91D3B"/>
    <w:rsid w:val="00C91D64"/>
    <w:rsid w:val="00C91E98"/>
    <w:rsid w:val="00C92817"/>
    <w:rsid w:val="00C93633"/>
    <w:rsid w:val="00C93787"/>
    <w:rsid w:val="00C93A65"/>
    <w:rsid w:val="00C93B9E"/>
    <w:rsid w:val="00C93C89"/>
    <w:rsid w:val="00C94B85"/>
    <w:rsid w:val="00C94C87"/>
    <w:rsid w:val="00C96105"/>
    <w:rsid w:val="00C96AA1"/>
    <w:rsid w:val="00C96B7C"/>
    <w:rsid w:val="00C96D4A"/>
    <w:rsid w:val="00C976B4"/>
    <w:rsid w:val="00CA0287"/>
    <w:rsid w:val="00CA0562"/>
    <w:rsid w:val="00CA0B18"/>
    <w:rsid w:val="00CA0F16"/>
    <w:rsid w:val="00CA1101"/>
    <w:rsid w:val="00CA11FF"/>
    <w:rsid w:val="00CA2543"/>
    <w:rsid w:val="00CA2757"/>
    <w:rsid w:val="00CA49C4"/>
    <w:rsid w:val="00CA4FA6"/>
    <w:rsid w:val="00CA5452"/>
    <w:rsid w:val="00CA77F6"/>
    <w:rsid w:val="00CA7D18"/>
    <w:rsid w:val="00CB01EE"/>
    <w:rsid w:val="00CB0777"/>
    <w:rsid w:val="00CB331C"/>
    <w:rsid w:val="00CB3E4E"/>
    <w:rsid w:val="00CB502B"/>
    <w:rsid w:val="00CB5441"/>
    <w:rsid w:val="00CB6402"/>
    <w:rsid w:val="00CB64EE"/>
    <w:rsid w:val="00CB67B0"/>
    <w:rsid w:val="00CB7622"/>
    <w:rsid w:val="00CB76A8"/>
    <w:rsid w:val="00CC00BE"/>
    <w:rsid w:val="00CC0126"/>
    <w:rsid w:val="00CC0305"/>
    <w:rsid w:val="00CC3226"/>
    <w:rsid w:val="00CC42A6"/>
    <w:rsid w:val="00CC452E"/>
    <w:rsid w:val="00CC4D93"/>
    <w:rsid w:val="00CC51EA"/>
    <w:rsid w:val="00CC52AE"/>
    <w:rsid w:val="00CC593D"/>
    <w:rsid w:val="00CC6497"/>
    <w:rsid w:val="00CC68C8"/>
    <w:rsid w:val="00CD0395"/>
    <w:rsid w:val="00CD08BA"/>
    <w:rsid w:val="00CD123A"/>
    <w:rsid w:val="00CD12AC"/>
    <w:rsid w:val="00CD282F"/>
    <w:rsid w:val="00CD5409"/>
    <w:rsid w:val="00CD6703"/>
    <w:rsid w:val="00CD68B4"/>
    <w:rsid w:val="00CD6F1E"/>
    <w:rsid w:val="00CD766F"/>
    <w:rsid w:val="00CD77A3"/>
    <w:rsid w:val="00CD7A5C"/>
    <w:rsid w:val="00CD7C12"/>
    <w:rsid w:val="00CE0294"/>
    <w:rsid w:val="00CE2567"/>
    <w:rsid w:val="00CE2CBD"/>
    <w:rsid w:val="00CE2E8D"/>
    <w:rsid w:val="00CE36AA"/>
    <w:rsid w:val="00CE3B50"/>
    <w:rsid w:val="00CE3B75"/>
    <w:rsid w:val="00CE4565"/>
    <w:rsid w:val="00CE4E8C"/>
    <w:rsid w:val="00CE527B"/>
    <w:rsid w:val="00CE6F25"/>
    <w:rsid w:val="00CF072E"/>
    <w:rsid w:val="00CF1179"/>
    <w:rsid w:val="00CF19CB"/>
    <w:rsid w:val="00CF32FF"/>
    <w:rsid w:val="00CF37C4"/>
    <w:rsid w:val="00CF4DEE"/>
    <w:rsid w:val="00CF6FFD"/>
    <w:rsid w:val="00CF76E6"/>
    <w:rsid w:val="00CF78D1"/>
    <w:rsid w:val="00D00BD5"/>
    <w:rsid w:val="00D00E34"/>
    <w:rsid w:val="00D025F9"/>
    <w:rsid w:val="00D03D0F"/>
    <w:rsid w:val="00D05A93"/>
    <w:rsid w:val="00D05EEC"/>
    <w:rsid w:val="00D06233"/>
    <w:rsid w:val="00D06FC9"/>
    <w:rsid w:val="00D109F6"/>
    <w:rsid w:val="00D111D4"/>
    <w:rsid w:val="00D116A9"/>
    <w:rsid w:val="00D11849"/>
    <w:rsid w:val="00D118CE"/>
    <w:rsid w:val="00D13143"/>
    <w:rsid w:val="00D1339E"/>
    <w:rsid w:val="00D140D9"/>
    <w:rsid w:val="00D150A8"/>
    <w:rsid w:val="00D150B2"/>
    <w:rsid w:val="00D1564F"/>
    <w:rsid w:val="00D163A7"/>
    <w:rsid w:val="00D21025"/>
    <w:rsid w:val="00D21643"/>
    <w:rsid w:val="00D21A82"/>
    <w:rsid w:val="00D2292E"/>
    <w:rsid w:val="00D22949"/>
    <w:rsid w:val="00D230A9"/>
    <w:rsid w:val="00D234C5"/>
    <w:rsid w:val="00D254FE"/>
    <w:rsid w:val="00D25507"/>
    <w:rsid w:val="00D27191"/>
    <w:rsid w:val="00D27249"/>
    <w:rsid w:val="00D31225"/>
    <w:rsid w:val="00D314A1"/>
    <w:rsid w:val="00D32083"/>
    <w:rsid w:val="00D32668"/>
    <w:rsid w:val="00D32D5A"/>
    <w:rsid w:val="00D3388E"/>
    <w:rsid w:val="00D33F26"/>
    <w:rsid w:val="00D34BFF"/>
    <w:rsid w:val="00D362FD"/>
    <w:rsid w:val="00D366B9"/>
    <w:rsid w:val="00D368CC"/>
    <w:rsid w:val="00D3729D"/>
    <w:rsid w:val="00D377F7"/>
    <w:rsid w:val="00D40AFF"/>
    <w:rsid w:val="00D41671"/>
    <w:rsid w:val="00D42E23"/>
    <w:rsid w:val="00D42F2F"/>
    <w:rsid w:val="00D4408D"/>
    <w:rsid w:val="00D4410A"/>
    <w:rsid w:val="00D45166"/>
    <w:rsid w:val="00D458A7"/>
    <w:rsid w:val="00D45978"/>
    <w:rsid w:val="00D4692D"/>
    <w:rsid w:val="00D47066"/>
    <w:rsid w:val="00D50298"/>
    <w:rsid w:val="00D508E0"/>
    <w:rsid w:val="00D51B6A"/>
    <w:rsid w:val="00D52003"/>
    <w:rsid w:val="00D541C3"/>
    <w:rsid w:val="00D54CC7"/>
    <w:rsid w:val="00D56EFB"/>
    <w:rsid w:val="00D60434"/>
    <w:rsid w:val="00D61303"/>
    <w:rsid w:val="00D62887"/>
    <w:rsid w:val="00D64F7A"/>
    <w:rsid w:val="00D66325"/>
    <w:rsid w:val="00D71F87"/>
    <w:rsid w:val="00D723DA"/>
    <w:rsid w:val="00D7293D"/>
    <w:rsid w:val="00D73B8E"/>
    <w:rsid w:val="00D75C7A"/>
    <w:rsid w:val="00D76D61"/>
    <w:rsid w:val="00D7705C"/>
    <w:rsid w:val="00D779EA"/>
    <w:rsid w:val="00D77A04"/>
    <w:rsid w:val="00D805D0"/>
    <w:rsid w:val="00D831B4"/>
    <w:rsid w:val="00D8432B"/>
    <w:rsid w:val="00D84417"/>
    <w:rsid w:val="00D84757"/>
    <w:rsid w:val="00D84A00"/>
    <w:rsid w:val="00D86F8D"/>
    <w:rsid w:val="00D87716"/>
    <w:rsid w:val="00D87DD8"/>
    <w:rsid w:val="00D90086"/>
    <w:rsid w:val="00D9048C"/>
    <w:rsid w:val="00D91715"/>
    <w:rsid w:val="00D91AF1"/>
    <w:rsid w:val="00D91B83"/>
    <w:rsid w:val="00D9415B"/>
    <w:rsid w:val="00D94D9C"/>
    <w:rsid w:val="00D956C9"/>
    <w:rsid w:val="00D95827"/>
    <w:rsid w:val="00DA0421"/>
    <w:rsid w:val="00DA0F56"/>
    <w:rsid w:val="00DA1BDF"/>
    <w:rsid w:val="00DA2439"/>
    <w:rsid w:val="00DA30D7"/>
    <w:rsid w:val="00DA31B9"/>
    <w:rsid w:val="00DA43FC"/>
    <w:rsid w:val="00DA4A05"/>
    <w:rsid w:val="00DA4CE2"/>
    <w:rsid w:val="00DA51C4"/>
    <w:rsid w:val="00DA5D8A"/>
    <w:rsid w:val="00DA6020"/>
    <w:rsid w:val="00DA7428"/>
    <w:rsid w:val="00DB1ECF"/>
    <w:rsid w:val="00DB4082"/>
    <w:rsid w:val="00DB4316"/>
    <w:rsid w:val="00DB56AD"/>
    <w:rsid w:val="00DB5CC5"/>
    <w:rsid w:val="00DB6B91"/>
    <w:rsid w:val="00DB7ADE"/>
    <w:rsid w:val="00DC00B6"/>
    <w:rsid w:val="00DC0A91"/>
    <w:rsid w:val="00DC0F83"/>
    <w:rsid w:val="00DC130A"/>
    <w:rsid w:val="00DC141D"/>
    <w:rsid w:val="00DC1B8B"/>
    <w:rsid w:val="00DC1C7A"/>
    <w:rsid w:val="00DC32C4"/>
    <w:rsid w:val="00DC3B73"/>
    <w:rsid w:val="00DC3BE0"/>
    <w:rsid w:val="00DC5160"/>
    <w:rsid w:val="00DC53CE"/>
    <w:rsid w:val="00DC5D84"/>
    <w:rsid w:val="00DC60FA"/>
    <w:rsid w:val="00DC613D"/>
    <w:rsid w:val="00DC73F3"/>
    <w:rsid w:val="00DC7B18"/>
    <w:rsid w:val="00DD0A27"/>
    <w:rsid w:val="00DD0DDB"/>
    <w:rsid w:val="00DD1506"/>
    <w:rsid w:val="00DD2003"/>
    <w:rsid w:val="00DD32DA"/>
    <w:rsid w:val="00DD3758"/>
    <w:rsid w:val="00DD3D73"/>
    <w:rsid w:val="00DD4F7B"/>
    <w:rsid w:val="00DD507A"/>
    <w:rsid w:val="00DD59C3"/>
    <w:rsid w:val="00DD73AF"/>
    <w:rsid w:val="00DE0B43"/>
    <w:rsid w:val="00DE1EEB"/>
    <w:rsid w:val="00DE1F5A"/>
    <w:rsid w:val="00DE2080"/>
    <w:rsid w:val="00DE221D"/>
    <w:rsid w:val="00DE34E6"/>
    <w:rsid w:val="00DE3636"/>
    <w:rsid w:val="00DE37A5"/>
    <w:rsid w:val="00DE37A9"/>
    <w:rsid w:val="00DE398D"/>
    <w:rsid w:val="00DE4E2D"/>
    <w:rsid w:val="00DE4FE5"/>
    <w:rsid w:val="00DE5415"/>
    <w:rsid w:val="00DE5A61"/>
    <w:rsid w:val="00DE5BBF"/>
    <w:rsid w:val="00DE698F"/>
    <w:rsid w:val="00DF0F9A"/>
    <w:rsid w:val="00DF47BB"/>
    <w:rsid w:val="00DF4C6E"/>
    <w:rsid w:val="00DF518D"/>
    <w:rsid w:val="00DF5965"/>
    <w:rsid w:val="00DF6385"/>
    <w:rsid w:val="00DF6A3F"/>
    <w:rsid w:val="00DF7745"/>
    <w:rsid w:val="00DF79B2"/>
    <w:rsid w:val="00E0008D"/>
    <w:rsid w:val="00E00457"/>
    <w:rsid w:val="00E01337"/>
    <w:rsid w:val="00E03451"/>
    <w:rsid w:val="00E049F0"/>
    <w:rsid w:val="00E06036"/>
    <w:rsid w:val="00E06262"/>
    <w:rsid w:val="00E101A2"/>
    <w:rsid w:val="00E10762"/>
    <w:rsid w:val="00E112D2"/>
    <w:rsid w:val="00E1302B"/>
    <w:rsid w:val="00E13F62"/>
    <w:rsid w:val="00E14431"/>
    <w:rsid w:val="00E15E6D"/>
    <w:rsid w:val="00E1641F"/>
    <w:rsid w:val="00E17AE9"/>
    <w:rsid w:val="00E17C16"/>
    <w:rsid w:val="00E207C7"/>
    <w:rsid w:val="00E20EBA"/>
    <w:rsid w:val="00E21357"/>
    <w:rsid w:val="00E217EB"/>
    <w:rsid w:val="00E21BC9"/>
    <w:rsid w:val="00E21EAC"/>
    <w:rsid w:val="00E21F92"/>
    <w:rsid w:val="00E225B3"/>
    <w:rsid w:val="00E22841"/>
    <w:rsid w:val="00E240BD"/>
    <w:rsid w:val="00E250A9"/>
    <w:rsid w:val="00E25392"/>
    <w:rsid w:val="00E303F7"/>
    <w:rsid w:val="00E30BFB"/>
    <w:rsid w:val="00E31C2A"/>
    <w:rsid w:val="00E3262D"/>
    <w:rsid w:val="00E327C6"/>
    <w:rsid w:val="00E32F40"/>
    <w:rsid w:val="00E346DF"/>
    <w:rsid w:val="00E3677E"/>
    <w:rsid w:val="00E36FB5"/>
    <w:rsid w:val="00E37401"/>
    <w:rsid w:val="00E37A70"/>
    <w:rsid w:val="00E37AA8"/>
    <w:rsid w:val="00E40606"/>
    <w:rsid w:val="00E4065D"/>
    <w:rsid w:val="00E40A0A"/>
    <w:rsid w:val="00E411AA"/>
    <w:rsid w:val="00E426CB"/>
    <w:rsid w:val="00E43551"/>
    <w:rsid w:val="00E4593A"/>
    <w:rsid w:val="00E47CC6"/>
    <w:rsid w:val="00E51870"/>
    <w:rsid w:val="00E52CC0"/>
    <w:rsid w:val="00E54D27"/>
    <w:rsid w:val="00E55300"/>
    <w:rsid w:val="00E5533D"/>
    <w:rsid w:val="00E5659B"/>
    <w:rsid w:val="00E56689"/>
    <w:rsid w:val="00E56936"/>
    <w:rsid w:val="00E5768C"/>
    <w:rsid w:val="00E60C55"/>
    <w:rsid w:val="00E61A3C"/>
    <w:rsid w:val="00E64084"/>
    <w:rsid w:val="00E6414C"/>
    <w:rsid w:val="00E64441"/>
    <w:rsid w:val="00E6524E"/>
    <w:rsid w:val="00E663DB"/>
    <w:rsid w:val="00E715AE"/>
    <w:rsid w:val="00E71649"/>
    <w:rsid w:val="00E73BB7"/>
    <w:rsid w:val="00E75240"/>
    <w:rsid w:val="00E75387"/>
    <w:rsid w:val="00E7729B"/>
    <w:rsid w:val="00E77F88"/>
    <w:rsid w:val="00E80A1A"/>
    <w:rsid w:val="00E80B88"/>
    <w:rsid w:val="00E82050"/>
    <w:rsid w:val="00E82DC4"/>
    <w:rsid w:val="00E83609"/>
    <w:rsid w:val="00E838DC"/>
    <w:rsid w:val="00E850AF"/>
    <w:rsid w:val="00E85DE8"/>
    <w:rsid w:val="00E85F11"/>
    <w:rsid w:val="00E87DF7"/>
    <w:rsid w:val="00E9097A"/>
    <w:rsid w:val="00E90C0A"/>
    <w:rsid w:val="00E9149A"/>
    <w:rsid w:val="00E91A62"/>
    <w:rsid w:val="00E91E57"/>
    <w:rsid w:val="00E931B8"/>
    <w:rsid w:val="00E93F8D"/>
    <w:rsid w:val="00E9414D"/>
    <w:rsid w:val="00E9490F"/>
    <w:rsid w:val="00E95F83"/>
    <w:rsid w:val="00E96266"/>
    <w:rsid w:val="00E966E4"/>
    <w:rsid w:val="00E97229"/>
    <w:rsid w:val="00E9724F"/>
    <w:rsid w:val="00EA007F"/>
    <w:rsid w:val="00EA103A"/>
    <w:rsid w:val="00EA32A1"/>
    <w:rsid w:val="00EA3359"/>
    <w:rsid w:val="00EA3BEC"/>
    <w:rsid w:val="00EA4961"/>
    <w:rsid w:val="00EA58EE"/>
    <w:rsid w:val="00EA6147"/>
    <w:rsid w:val="00EA67D1"/>
    <w:rsid w:val="00EA6B5F"/>
    <w:rsid w:val="00EA6D3C"/>
    <w:rsid w:val="00EA70EF"/>
    <w:rsid w:val="00EB00CB"/>
    <w:rsid w:val="00EB09FC"/>
    <w:rsid w:val="00EB469C"/>
    <w:rsid w:val="00EB4D29"/>
    <w:rsid w:val="00EB6B51"/>
    <w:rsid w:val="00EB7124"/>
    <w:rsid w:val="00EB7987"/>
    <w:rsid w:val="00EB7F30"/>
    <w:rsid w:val="00EC019A"/>
    <w:rsid w:val="00EC0703"/>
    <w:rsid w:val="00EC11E2"/>
    <w:rsid w:val="00EC24C9"/>
    <w:rsid w:val="00EC3087"/>
    <w:rsid w:val="00EC4E9E"/>
    <w:rsid w:val="00EC54E1"/>
    <w:rsid w:val="00EC6762"/>
    <w:rsid w:val="00EC7766"/>
    <w:rsid w:val="00ED115A"/>
    <w:rsid w:val="00ED1ACF"/>
    <w:rsid w:val="00ED3BC1"/>
    <w:rsid w:val="00ED3E62"/>
    <w:rsid w:val="00ED4DAB"/>
    <w:rsid w:val="00ED5225"/>
    <w:rsid w:val="00ED590C"/>
    <w:rsid w:val="00ED5992"/>
    <w:rsid w:val="00ED5B68"/>
    <w:rsid w:val="00ED6010"/>
    <w:rsid w:val="00ED6DBD"/>
    <w:rsid w:val="00EE003B"/>
    <w:rsid w:val="00EE021D"/>
    <w:rsid w:val="00EE06C7"/>
    <w:rsid w:val="00EE1344"/>
    <w:rsid w:val="00EE177C"/>
    <w:rsid w:val="00EE1E8E"/>
    <w:rsid w:val="00EE2774"/>
    <w:rsid w:val="00EE2B6E"/>
    <w:rsid w:val="00EE373F"/>
    <w:rsid w:val="00EE394E"/>
    <w:rsid w:val="00EE497B"/>
    <w:rsid w:val="00EE4A50"/>
    <w:rsid w:val="00EE55B4"/>
    <w:rsid w:val="00EF0484"/>
    <w:rsid w:val="00EF09FA"/>
    <w:rsid w:val="00EF3059"/>
    <w:rsid w:val="00EF40BB"/>
    <w:rsid w:val="00EF460D"/>
    <w:rsid w:val="00EF4E82"/>
    <w:rsid w:val="00EF5EEF"/>
    <w:rsid w:val="00EF6375"/>
    <w:rsid w:val="00EF7FEA"/>
    <w:rsid w:val="00F01BED"/>
    <w:rsid w:val="00F01FC5"/>
    <w:rsid w:val="00F025A3"/>
    <w:rsid w:val="00F0281C"/>
    <w:rsid w:val="00F0401D"/>
    <w:rsid w:val="00F0420F"/>
    <w:rsid w:val="00F04476"/>
    <w:rsid w:val="00F04512"/>
    <w:rsid w:val="00F04B2F"/>
    <w:rsid w:val="00F04DB5"/>
    <w:rsid w:val="00F04EC5"/>
    <w:rsid w:val="00F0605D"/>
    <w:rsid w:val="00F06080"/>
    <w:rsid w:val="00F062FB"/>
    <w:rsid w:val="00F06305"/>
    <w:rsid w:val="00F069B5"/>
    <w:rsid w:val="00F074F8"/>
    <w:rsid w:val="00F0752F"/>
    <w:rsid w:val="00F0785B"/>
    <w:rsid w:val="00F07D63"/>
    <w:rsid w:val="00F122BA"/>
    <w:rsid w:val="00F129F8"/>
    <w:rsid w:val="00F12B80"/>
    <w:rsid w:val="00F131BC"/>
    <w:rsid w:val="00F131F9"/>
    <w:rsid w:val="00F13517"/>
    <w:rsid w:val="00F138C5"/>
    <w:rsid w:val="00F14800"/>
    <w:rsid w:val="00F1565E"/>
    <w:rsid w:val="00F15A73"/>
    <w:rsid w:val="00F1650C"/>
    <w:rsid w:val="00F16DB9"/>
    <w:rsid w:val="00F16FDF"/>
    <w:rsid w:val="00F172E8"/>
    <w:rsid w:val="00F17FA0"/>
    <w:rsid w:val="00F20256"/>
    <w:rsid w:val="00F223DA"/>
    <w:rsid w:val="00F22470"/>
    <w:rsid w:val="00F226DB"/>
    <w:rsid w:val="00F240F0"/>
    <w:rsid w:val="00F24F3F"/>
    <w:rsid w:val="00F255C9"/>
    <w:rsid w:val="00F27575"/>
    <w:rsid w:val="00F303B5"/>
    <w:rsid w:val="00F3544C"/>
    <w:rsid w:val="00F36CB6"/>
    <w:rsid w:val="00F40006"/>
    <w:rsid w:val="00F404BA"/>
    <w:rsid w:val="00F411B3"/>
    <w:rsid w:val="00F415CE"/>
    <w:rsid w:val="00F4175C"/>
    <w:rsid w:val="00F41C73"/>
    <w:rsid w:val="00F41CE3"/>
    <w:rsid w:val="00F41D35"/>
    <w:rsid w:val="00F421E6"/>
    <w:rsid w:val="00F42E75"/>
    <w:rsid w:val="00F43B26"/>
    <w:rsid w:val="00F44E20"/>
    <w:rsid w:val="00F45F8B"/>
    <w:rsid w:val="00F4680E"/>
    <w:rsid w:val="00F470CD"/>
    <w:rsid w:val="00F500F2"/>
    <w:rsid w:val="00F516A9"/>
    <w:rsid w:val="00F53219"/>
    <w:rsid w:val="00F53539"/>
    <w:rsid w:val="00F55FC9"/>
    <w:rsid w:val="00F56928"/>
    <w:rsid w:val="00F57D83"/>
    <w:rsid w:val="00F6019C"/>
    <w:rsid w:val="00F60D82"/>
    <w:rsid w:val="00F613D1"/>
    <w:rsid w:val="00F61E83"/>
    <w:rsid w:val="00F65393"/>
    <w:rsid w:val="00F65ED1"/>
    <w:rsid w:val="00F67C78"/>
    <w:rsid w:val="00F67E38"/>
    <w:rsid w:val="00F726C7"/>
    <w:rsid w:val="00F757CE"/>
    <w:rsid w:val="00F75987"/>
    <w:rsid w:val="00F7599C"/>
    <w:rsid w:val="00F8056E"/>
    <w:rsid w:val="00F81ED9"/>
    <w:rsid w:val="00F8216A"/>
    <w:rsid w:val="00F830D3"/>
    <w:rsid w:val="00F830DD"/>
    <w:rsid w:val="00F830EC"/>
    <w:rsid w:val="00F83657"/>
    <w:rsid w:val="00F84F2F"/>
    <w:rsid w:val="00F8590F"/>
    <w:rsid w:val="00F86DF7"/>
    <w:rsid w:val="00F876E4"/>
    <w:rsid w:val="00F878D6"/>
    <w:rsid w:val="00F90378"/>
    <w:rsid w:val="00F91BE7"/>
    <w:rsid w:val="00F91DEF"/>
    <w:rsid w:val="00F921ED"/>
    <w:rsid w:val="00F93D09"/>
    <w:rsid w:val="00F94D41"/>
    <w:rsid w:val="00F950D0"/>
    <w:rsid w:val="00F95F3E"/>
    <w:rsid w:val="00F95F60"/>
    <w:rsid w:val="00F967D8"/>
    <w:rsid w:val="00F96BFA"/>
    <w:rsid w:val="00F96D92"/>
    <w:rsid w:val="00FA0602"/>
    <w:rsid w:val="00FA0B43"/>
    <w:rsid w:val="00FA1315"/>
    <w:rsid w:val="00FA2966"/>
    <w:rsid w:val="00FA2DFD"/>
    <w:rsid w:val="00FA507A"/>
    <w:rsid w:val="00FB01B4"/>
    <w:rsid w:val="00FB0677"/>
    <w:rsid w:val="00FB155E"/>
    <w:rsid w:val="00FB18D7"/>
    <w:rsid w:val="00FB2792"/>
    <w:rsid w:val="00FB308D"/>
    <w:rsid w:val="00FB3F3B"/>
    <w:rsid w:val="00FB48E8"/>
    <w:rsid w:val="00FB4F67"/>
    <w:rsid w:val="00FB4FBB"/>
    <w:rsid w:val="00FB52C0"/>
    <w:rsid w:val="00FB53CD"/>
    <w:rsid w:val="00FB731C"/>
    <w:rsid w:val="00FB78E1"/>
    <w:rsid w:val="00FC0DF8"/>
    <w:rsid w:val="00FC1E67"/>
    <w:rsid w:val="00FC2092"/>
    <w:rsid w:val="00FC2DAF"/>
    <w:rsid w:val="00FC34CD"/>
    <w:rsid w:val="00FC36F0"/>
    <w:rsid w:val="00FC56FB"/>
    <w:rsid w:val="00FC60F8"/>
    <w:rsid w:val="00FC6750"/>
    <w:rsid w:val="00FC7827"/>
    <w:rsid w:val="00FC7A68"/>
    <w:rsid w:val="00FC7E33"/>
    <w:rsid w:val="00FD06D5"/>
    <w:rsid w:val="00FD1653"/>
    <w:rsid w:val="00FD2BFB"/>
    <w:rsid w:val="00FD2E6C"/>
    <w:rsid w:val="00FD345D"/>
    <w:rsid w:val="00FD4C0A"/>
    <w:rsid w:val="00FD504D"/>
    <w:rsid w:val="00FD60BA"/>
    <w:rsid w:val="00FD7C47"/>
    <w:rsid w:val="00FE023F"/>
    <w:rsid w:val="00FE09D5"/>
    <w:rsid w:val="00FE0C8C"/>
    <w:rsid w:val="00FE3C68"/>
    <w:rsid w:val="00FE3DD2"/>
    <w:rsid w:val="00FE5353"/>
    <w:rsid w:val="00FE5FE7"/>
    <w:rsid w:val="00FE6B93"/>
    <w:rsid w:val="00FE6CE9"/>
    <w:rsid w:val="00FF0FDA"/>
    <w:rsid w:val="00FF1760"/>
    <w:rsid w:val="00FF26E6"/>
    <w:rsid w:val="00FF2EC5"/>
    <w:rsid w:val="00FF3AED"/>
    <w:rsid w:val="00FF459D"/>
    <w:rsid w:val="00FF5055"/>
    <w:rsid w:val="00FF577E"/>
    <w:rsid w:val="00FF58B9"/>
    <w:rsid w:val="00FF62D2"/>
    <w:rsid w:val="00FF6E58"/>
    <w:rsid w:val="00FF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BD"/>
  </w:style>
  <w:style w:type="paragraph" w:styleId="1">
    <w:name w:val="heading 1"/>
    <w:basedOn w:val="a"/>
    <w:next w:val="a"/>
    <w:link w:val="10"/>
    <w:uiPriority w:val="99"/>
    <w:qFormat/>
    <w:rsid w:val="006E10B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10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10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38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E10B8"/>
    <w:pPr>
      <w:spacing w:before="240" w:after="60"/>
      <w:outlineLvl w:val="5"/>
    </w:pPr>
    <w:rPr>
      <w:rFonts w:ascii="Calibri" w:hAnsi="Calibri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65287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40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B640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B640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6402"/>
    <w:rPr>
      <w:rFonts w:ascii="Calibri" w:hAnsi="Calibri"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6402"/>
    <w:rPr>
      <w:rFonts w:ascii="Calibri" w:hAnsi="Calibri" w:cs="Times New Roman"/>
      <w:b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B6402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6E10B8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262C"/>
    <w:rPr>
      <w:rFonts w:cs="Times New Roman"/>
      <w:sz w:val="28"/>
    </w:rPr>
  </w:style>
  <w:style w:type="paragraph" w:customStyle="1" w:styleId="FR1">
    <w:name w:val="FR1"/>
    <w:uiPriority w:val="99"/>
    <w:rsid w:val="006E10B8"/>
    <w:pPr>
      <w:widowControl w:val="0"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sid w:val="006E10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B6402"/>
    <w:rPr>
      <w:rFonts w:cs="Times New Roman"/>
      <w:sz w:val="20"/>
    </w:rPr>
  </w:style>
  <w:style w:type="character" w:styleId="a7">
    <w:name w:val="page number"/>
    <w:basedOn w:val="a0"/>
    <w:uiPriority w:val="99"/>
    <w:rsid w:val="006E10B8"/>
    <w:rPr>
      <w:rFonts w:cs="Times New Roman"/>
    </w:rPr>
  </w:style>
  <w:style w:type="paragraph" w:styleId="a8">
    <w:name w:val="header"/>
    <w:basedOn w:val="a"/>
    <w:link w:val="a9"/>
    <w:uiPriority w:val="99"/>
    <w:rsid w:val="006E10B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2071D"/>
    <w:rPr>
      <w:rFonts w:cs="Times New Roman"/>
    </w:rPr>
  </w:style>
  <w:style w:type="paragraph" w:customStyle="1" w:styleId="aa">
    <w:name w:val="Текст доклада"/>
    <w:basedOn w:val="a"/>
    <w:uiPriority w:val="99"/>
    <w:rsid w:val="006E10B8"/>
    <w:pPr>
      <w:ind w:firstLine="567"/>
      <w:jc w:val="both"/>
    </w:pPr>
    <w:rPr>
      <w:sz w:val="24"/>
    </w:rPr>
  </w:style>
  <w:style w:type="paragraph" w:styleId="ab">
    <w:name w:val="Normal (Web)"/>
    <w:basedOn w:val="a"/>
    <w:uiPriority w:val="99"/>
    <w:rsid w:val="006E10B8"/>
    <w:pPr>
      <w:spacing w:before="100" w:beforeAutospacing="1" w:after="100" w:afterAutospacing="1"/>
      <w:ind w:left="525" w:right="525"/>
      <w:jc w:val="both"/>
    </w:pPr>
    <w:rPr>
      <w:rFonts w:ascii="Verdana" w:hAnsi="Verdana"/>
      <w:color w:val="002D59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6E10B8"/>
    <w:rPr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B6402"/>
    <w:rPr>
      <w:rFonts w:cs="Times New Roman"/>
      <w:sz w:val="2"/>
    </w:rPr>
  </w:style>
  <w:style w:type="paragraph" w:styleId="21">
    <w:name w:val="Body Text 2"/>
    <w:basedOn w:val="a"/>
    <w:link w:val="22"/>
    <w:uiPriority w:val="99"/>
    <w:rsid w:val="006E10B8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B6402"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rsid w:val="006E10B8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B6402"/>
    <w:rPr>
      <w:rFonts w:cs="Times New Roman"/>
      <w:sz w:val="20"/>
    </w:rPr>
  </w:style>
  <w:style w:type="paragraph" w:styleId="ae">
    <w:name w:val="footer"/>
    <w:basedOn w:val="a"/>
    <w:link w:val="af"/>
    <w:uiPriority w:val="99"/>
    <w:rsid w:val="006E10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B6402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6E10B8"/>
    <w:pPr>
      <w:ind w:firstLine="90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B6402"/>
    <w:rPr>
      <w:rFonts w:cs="Times New Roman"/>
      <w:sz w:val="16"/>
    </w:rPr>
  </w:style>
  <w:style w:type="paragraph" w:customStyle="1" w:styleId="af0">
    <w:name w:val="ТЕКСТ"/>
    <w:uiPriority w:val="99"/>
    <w:rsid w:val="006E10B8"/>
    <w:pPr>
      <w:spacing w:before="60"/>
      <w:ind w:firstLine="567"/>
      <w:jc w:val="both"/>
    </w:pPr>
    <w:rPr>
      <w:rFonts w:ascii="NTHarmonica Narrow" w:hAnsi="NTHarmonica Narrow"/>
      <w:sz w:val="22"/>
    </w:rPr>
  </w:style>
  <w:style w:type="paragraph" w:styleId="af1">
    <w:name w:val="Title"/>
    <w:basedOn w:val="a"/>
    <w:link w:val="af2"/>
    <w:uiPriority w:val="99"/>
    <w:qFormat/>
    <w:rsid w:val="006E10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CB6402"/>
    <w:rPr>
      <w:rFonts w:ascii="Cambria" w:hAnsi="Cambria" w:cs="Times New Roman"/>
      <w:b/>
      <w:kern w:val="28"/>
      <w:sz w:val="32"/>
    </w:rPr>
  </w:style>
  <w:style w:type="table" w:styleId="af3">
    <w:name w:val="Table Grid"/>
    <w:basedOn w:val="a1"/>
    <w:uiPriority w:val="99"/>
    <w:rsid w:val="00A4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3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First Indent 2"/>
    <w:basedOn w:val="a3"/>
    <w:link w:val="26"/>
    <w:uiPriority w:val="99"/>
    <w:rsid w:val="00652879"/>
    <w:pPr>
      <w:spacing w:after="120"/>
      <w:ind w:left="283" w:firstLine="210"/>
    </w:pPr>
    <w:rPr>
      <w:sz w:val="20"/>
    </w:rPr>
  </w:style>
  <w:style w:type="character" w:customStyle="1" w:styleId="26">
    <w:name w:val="Красная строка 2 Знак"/>
    <w:basedOn w:val="a4"/>
    <w:link w:val="25"/>
    <w:uiPriority w:val="99"/>
    <w:locked/>
    <w:rsid w:val="00C93C89"/>
  </w:style>
  <w:style w:type="paragraph" w:customStyle="1" w:styleId="af4">
    <w:name w:val="Знак Знак Знак Знак Знак Знак Знак"/>
    <w:basedOn w:val="a"/>
    <w:uiPriority w:val="99"/>
    <w:rsid w:val="00D3266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D3266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F6A3F"/>
    <w:pPr>
      <w:widowControl w:val="0"/>
    </w:pPr>
    <w:rPr>
      <w:rFonts w:ascii="Arial" w:hAnsi="Arial"/>
      <w:b/>
      <w:sz w:val="16"/>
    </w:rPr>
  </w:style>
  <w:style w:type="paragraph" w:customStyle="1" w:styleId="af6">
    <w:name w:val="Знак"/>
    <w:basedOn w:val="a"/>
    <w:uiPriority w:val="99"/>
    <w:rsid w:val="00DA30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8F238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 Знак Знак Знак Знак Знак Знак1"/>
    <w:basedOn w:val="a"/>
    <w:uiPriority w:val="99"/>
    <w:rsid w:val="008A3D3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210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Знак Знак Знак Знак Знак Знак Знак Знак Знак Знак Знак Знак Знак"/>
    <w:basedOn w:val="a"/>
    <w:uiPriority w:val="99"/>
    <w:rsid w:val="005C27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E130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AC42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AC42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a">
    <w:name w:val="List Paragraph"/>
    <w:basedOn w:val="a"/>
    <w:uiPriority w:val="99"/>
    <w:qFormat/>
    <w:rsid w:val="00CD7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Hyperlink"/>
    <w:basedOn w:val="a0"/>
    <w:uiPriority w:val="99"/>
    <w:rsid w:val="007954A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71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7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доходной базы областного</vt:lpstr>
    </vt:vector>
  </TitlesOfParts>
  <Company>Отдел доходов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доходной базы областного</dc:title>
  <dc:subject/>
  <dc:creator>gorobets</dc:creator>
  <cp:keywords/>
  <dc:description/>
  <cp:lastModifiedBy>RePack by SPecialiST</cp:lastModifiedBy>
  <cp:revision>278</cp:revision>
  <cp:lastPrinted>2016-11-14T07:37:00Z</cp:lastPrinted>
  <dcterms:created xsi:type="dcterms:W3CDTF">2013-10-15T04:38:00Z</dcterms:created>
  <dcterms:modified xsi:type="dcterms:W3CDTF">2016-11-14T09:18:00Z</dcterms:modified>
</cp:coreProperties>
</file>