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57" w:rsidRDefault="00125E57" w:rsidP="0029612F">
      <w:pPr>
        <w:ind w:firstLine="720"/>
        <w:jc w:val="center"/>
        <w:rPr>
          <w:b/>
          <w:sz w:val="28"/>
          <w:szCs w:val="28"/>
        </w:rPr>
      </w:pPr>
    </w:p>
    <w:p w:rsidR="00125E57" w:rsidRPr="00443033" w:rsidRDefault="00125E57" w:rsidP="00443033">
      <w:pPr>
        <w:jc w:val="center"/>
        <w:rPr>
          <w:b/>
          <w:sz w:val="28"/>
          <w:szCs w:val="28"/>
        </w:rPr>
      </w:pPr>
      <w:r w:rsidRPr="00443033">
        <w:rPr>
          <w:b/>
          <w:sz w:val="28"/>
          <w:szCs w:val="28"/>
        </w:rPr>
        <w:t>Пояснительная записка</w:t>
      </w:r>
    </w:p>
    <w:p w:rsidR="00125E57" w:rsidRPr="00443033" w:rsidRDefault="00125E57" w:rsidP="00443033">
      <w:pPr>
        <w:jc w:val="center"/>
        <w:rPr>
          <w:b/>
          <w:sz w:val="28"/>
          <w:szCs w:val="28"/>
        </w:rPr>
      </w:pPr>
      <w:r w:rsidRPr="00443033">
        <w:rPr>
          <w:b/>
          <w:sz w:val="28"/>
          <w:szCs w:val="28"/>
        </w:rPr>
        <w:t>к уточнению бюджета муниципального образования «Город Камызяк», утвержденного решением Совета МО «Город Камызяк»</w:t>
      </w:r>
    </w:p>
    <w:p w:rsidR="00125E57" w:rsidRPr="00443033" w:rsidRDefault="00125E57" w:rsidP="00443033">
      <w:pPr>
        <w:jc w:val="center"/>
        <w:rPr>
          <w:b/>
          <w:sz w:val="28"/>
          <w:szCs w:val="28"/>
        </w:rPr>
      </w:pPr>
      <w:r w:rsidRPr="00443033">
        <w:rPr>
          <w:b/>
          <w:sz w:val="28"/>
          <w:szCs w:val="28"/>
        </w:rPr>
        <w:t>от 25.12.2014 № 7</w:t>
      </w:r>
      <w:r>
        <w:rPr>
          <w:b/>
          <w:sz w:val="28"/>
          <w:szCs w:val="28"/>
        </w:rPr>
        <w:t>4</w:t>
      </w:r>
      <w:r w:rsidRPr="00443033">
        <w:rPr>
          <w:b/>
          <w:sz w:val="28"/>
          <w:szCs w:val="28"/>
        </w:rPr>
        <w:t xml:space="preserve"> </w:t>
      </w:r>
    </w:p>
    <w:p w:rsidR="00125E57" w:rsidRPr="00443033" w:rsidRDefault="00125E57" w:rsidP="00443033">
      <w:pPr>
        <w:jc w:val="center"/>
        <w:rPr>
          <w:b/>
          <w:sz w:val="28"/>
          <w:szCs w:val="28"/>
        </w:rPr>
      </w:pPr>
      <w:r w:rsidRPr="00443033">
        <w:rPr>
          <w:b/>
          <w:sz w:val="28"/>
          <w:szCs w:val="28"/>
        </w:rPr>
        <w:t xml:space="preserve">«О бюджете муниципального образования «Город Камызяк» </w:t>
      </w:r>
    </w:p>
    <w:p w:rsidR="00125E57" w:rsidRPr="00443033" w:rsidRDefault="00125E57" w:rsidP="00443033">
      <w:pPr>
        <w:jc w:val="center"/>
        <w:rPr>
          <w:b/>
          <w:sz w:val="28"/>
          <w:szCs w:val="28"/>
        </w:rPr>
      </w:pPr>
      <w:r w:rsidRPr="00443033">
        <w:rPr>
          <w:b/>
          <w:sz w:val="28"/>
          <w:szCs w:val="28"/>
        </w:rPr>
        <w:t>на 2015 год и плановый период 2016 и 2017 годов»</w:t>
      </w:r>
    </w:p>
    <w:p w:rsidR="00125E57" w:rsidRDefault="00125E57" w:rsidP="00443033">
      <w:pPr>
        <w:jc w:val="center"/>
        <w:rPr>
          <w:sz w:val="28"/>
          <w:szCs w:val="28"/>
        </w:rPr>
      </w:pPr>
      <w:r w:rsidRPr="0060032F">
        <w:rPr>
          <w:sz w:val="28"/>
          <w:szCs w:val="28"/>
        </w:rPr>
        <w:t xml:space="preserve">          </w:t>
      </w:r>
    </w:p>
    <w:p w:rsidR="00125E57" w:rsidRDefault="00125E57" w:rsidP="004E67B5">
      <w:pPr>
        <w:jc w:val="center"/>
        <w:rPr>
          <w:b/>
          <w:sz w:val="28"/>
          <w:szCs w:val="28"/>
        </w:rPr>
      </w:pPr>
      <w:r>
        <w:rPr>
          <w:b/>
          <w:sz w:val="28"/>
          <w:szCs w:val="28"/>
        </w:rPr>
        <w:t xml:space="preserve">         </w:t>
      </w:r>
      <w:r w:rsidRPr="0060032F">
        <w:rPr>
          <w:b/>
          <w:sz w:val="28"/>
          <w:szCs w:val="28"/>
        </w:rPr>
        <w:t>Уважаемые депутаты!</w:t>
      </w:r>
    </w:p>
    <w:p w:rsidR="00125E57" w:rsidRPr="0060032F" w:rsidRDefault="00125E57" w:rsidP="004E67B5">
      <w:pPr>
        <w:jc w:val="center"/>
        <w:rPr>
          <w:b/>
          <w:sz w:val="28"/>
          <w:szCs w:val="28"/>
        </w:rPr>
      </w:pPr>
    </w:p>
    <w:p w:rsidR="00125E57" w:rsidRPr="00443033" w:rsidRDefault="00125E57" w:rsidP="00F14D99">
      <w:pPr>
        <w:ind w:firstLine="900"/>
        <w:jc w:val="both"/>
        <w:rPr>
          <w:sz w:val="28"/>
          <w:szCs w:val="28"/>
        </w:rPr>
      </w:pPr>
      <w:r w:rsidRPr="00443033">
        <w:rPr>
          <w:sz w:val="28"/>
          <w:szCs w:val="28"/>
        </w:rPr>
        <w:t>Внесение изменений в решение Совета МО «Город Камызяк» от 2</w:t>
      </w:r>
      <w:r>
        <w:rPr>
          <w:sz w:val="28"/>
          <w:szCs w:val="28"/>
        </w:rPr>
        <w:t>5.12.2014 № 74</w:t>
      </w:r>
      <w:r w:rsidRPr="00443033">
        <w:rPr>
          <w:sz w:val="28"/>
          <w:szCs w:val="28"/>
        </w:rPr>
        <w:t xml:space="preserve"> «О бюджете муниципального образования «Город Камызяк» на 201</w:t>
      </w:r>
      <w:r>
        <w:rPr>
          <w:sz w:val="28"/>
          <w:szCs w:val="28"/>
        </w:rPr>
        <w:t>5</w:t>
      </w:r>
      <w:r w:rsidRPr="00443033">
        <w:rPr>
          <w:sz w:val="28"/>
          <w:szCs w:val="28"/>
        </w:rPr>
        <w:t xml:space="preserve"> год и плановый период 201</w:t>
      </w:r>
      <w:r>
        <w:rPr>
          <w:sz w:val="28"/>
          <w:szCs w:val="28"/>
        </w:rPr>
        <w:t>6</w:t>
      </w:r>
      <w:r w:rsidRPr="00443033">
        <w:rPr>
          <w:sz w:val="28"/>
          <w:szCs w:val="28"/>
        </w:rPr>
        <w:t xml:space="preserve"> и 201</w:t>
      </w:r>
      <w:r>
        <w:rPr>
          <w:sz w:val="28"/>
          <w:szCs w:val="28"/>
        </w:rPr>
        <w:t>7</w:t>
      </w:r>
      <w:r w:rsidRPr="00443033">
        <w:rPr>
          <w:sz w:val="28"/>
          <w:szCs w:val="28"/>
        </w:rPr>
        <w:t xml:space="preserve"> годов» подготовлено в соответствии с действующим бюджетным законодательством в связи с необходимостью изменения основных параметров бюджета МО «Город Камызяк».</w:t>
      </w:r>
    </w:p>
    <w:p w:rsidR="00125E57" w:rsidRPr="00E110FC" w:rsidRDefault="00125E57" w:rsidP="00443033">
      <w:pPr>
        <w:ind w:firstLine="900"/>
        <w:jc w:val="both"/>
        <w:rPr>
          <w:i/>
          <w:sz w:val="24"/>
          <w:szCs w:val="24"/>
        </w:rPr>
      </w:pPr>
      <w:r w:rsidRPr="00443033">
        <w:rPr>
          <w:sz w:val="28"/>
          <w:szCs w:val="28"/>
        </w:rPr>
        <w:tab/>
      </w:r>
      <w:r w:rsidRPr="00443033">
        <w:rPr>
          <w:sz w:val="28"/>
          <w:szCs w:val="28"/>
        </w:rPr>
        <w:tab/>
      </w:r>
      <w:r w:rsidRPr="00443033">
        <w:rPr>
          <w:sz w:val="28"/>
          <w:szCs w:val="28"/>
        </w:rPr>
        <w:tab/>
      </w:r>
      <w:r w:rsidRPr="00443033">
        <w:rPr>
          <w:sz w:val="28"/>
          <w:szCs w:val="28"/>
        </w:rPr>
        <w:tab/>
      </w:r>
      <w:r w:rsidRPr="00443033">
        <w:rPr>
          <w:sz w:val="28"/>
          <w:szCs w:val="28"/>
        </w:rPr>
        <w:tab/>
      </w:r>
      <w:r w:rsidRPr="00443033">
        <w:rPr>
          <w:sz w:val="28"/>
          <w:szCs w:val="28"/>
        </w:rPr>
        <w:tab/>
      </w:r>
      <w:r w:rsidRPr="00443033">
        <w:rPr>
          <w:sz w:val="28"/>
          <w:szCs w:val="28"/>
        </w:rPr>
        <w:tab/>
      </w:r>
      <w:r w:rsidRPr="00443033">
        <w:rPr>
          <w:sz w:val="28"/>
          <w:szCs w:val="28"/>
        </w:rPr>
        <w:tab/>
      </w:r>
      <w:r w:rsidRPr="00443033">
        <w:rPr>
          <w:sz w:val="28"/>
          <w:szCs w:val="28"/>
        </w:rPr>
        <w:tab/>
      </w:r>
      <w:r w:rsidRPr="00443033">
        <w:rPr>
          <w:sz w:val="28"/>
          <w:szCs w:val="28"/>
        </w:rPr>
        <w:tab/>
      </w:r>
      <w:r w:rsidRPr="00E110FC">
        <w:rPr>
          <w:i/>
          <w:sz w:val="24"/>
          <w:szCs w:val="24"/>
        </w:rPr>
        <w:t xml:space="preserve">        Таблица 1</w:t>
      </w:r>
    </w:p>
    <w:p w:rsidR="00125E57" w:rsidRPr="00443033" w:rsidRDefault="00125E57" w:rsidP="00443033">
      <w:pPr>
        <w:jc w:val="both"/>
        <w:rPr>
          <w:sz w:val="28"/>
          <w:szCs w:val="28"/>
        </w:rPr>
      </w:pPr>
      <w:r w:rsidRPr="00443033">
        <w:rPr>
          <w:sz w:val="28"/>
          <w:szCs w:val="28"/>
        </w:rPr>
        <w:t>Предлагаемые изменения следующие:</w:t>
      </w:r>
    </w:p>
    <w:p w:rsidR="00125E57" w:rsidRPr="00443033" w:rsidRDefault="00125E57" w:rsidP="00443033">
      <w:pPr>
        <w:ind w:left="7080" w:firstLine="708"/>
        <w:jc w:val="center"/>
        <w:rPr>
          <w:sz w:val="28"/>
          <w:szCs w:val="28"/>
        </w:rPr>
      </w:pPr>
      <w:r w:rsidRPr="00443033">
        <w:rPr>
          <w:sz w:val="28"/>
          <w:szCs w:val="28"/>
        </w:rPr>
        <w:t>тыс. руб.</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2385"/>
        <w:gridCol w:w="2385"/>
        <w:gridCol w:w="2385"/>
      </w:tblGrid>
      <w:tr w:rsidR="00125E57" w:rsidRPr="00443033" w:rsidTr="00D464D8">
        <w:trPr>
          <w:trHeight w:val="90"/>
        </w:trPr>
        <w:tc>
          <w:tcPr>
            <w:tcW w:w="2385" w:type="dxa"/>
          </w:tcPr>
          <w:p w:rsidR="00125E57" w:rsidRPr="00443033" w:rsidRDefault="00125E57" w:rsidP="00D464D8">
            <w:pPr>
              <w:jc w:val="both"/>
              <w:rPr>
                <w:sz w:val="28"/>
                <w:szCs w:val="28"/>
              </w:rPr>
            </w:pPr>
          </w:p>
        </w:tc>
        <w:tc>
          <w:tcPr>
            <w:tcW w:w="2385" w:type="dxa"/>
          </w:tcPr>
          <w:p w:rsidR="00125E57" w:rsidRPr="00443033" w:rsidRDefault="00125E57" w:rsidP="00D464D8">
            <w:pPr>
              <w:jc w:val="center"/>
              <w:rPr>
                <w:sz w:val="28"/>
                <w:szCs w:val="28"/>
              </w:rPr>
            </w:pPr>
            <w:r w:rsidRPr="00443033">
              <w:rPr>
                <w:sz w:val="28"/>
                <w:szCs w:val="28"/>
              </w:rPr>
              <w:t>Утвержденные назначения</w:t>
            </w:r>
          </w:p>
        </w:tc>
        <w:tc>
          <w:tcPr>
            <w:tcW w:w="2385" w:type="dxa"/>
          </w:tcPr>
          <w:p w:rsidR="00125E57" w:rsidRPr="00443033" w:rsidRDefault="00125E57" w:rsidP="00D464D8">
            <w:pPr>
              <w:jc w:val="center"/>
              <w:rPr>
                <w:sz w:val="28"/>
                <w:szCs w:val="28"/>
              </w:rPr>
            </w:pPr>
            <w:r w:rsidRPr="00443033">
              <w:rPr>
                <w:sz w:val="28"/>
                <w:szCs w:val="28"/>
              </w:rPr>
              <w:t>Предлагаемые изменения</w:t>
            </w:r>
          </w:p>
        </w:tc>
        <w:tc>
          <w:tcPr>
            <w:tcW w:w="2385" w:type="dxa"/>
          </w:tcPr>
          <w:p w:rsidR="00125E57" w:rsidRPr="00443033" w:rsidRDefault="00125E57" w:rsidP="00D464D8">
            <w:pPr>
              <w:jc w:val="center"/>
              <w:rPr>
                <w:sz w:val="28"/>
                <w:szCs w:val="28"/>
              </w:rPr>
            </w:pPr>
            <w:r w:rsidRPr="00443033">
              <w:rPr>
                <w:sz w:val="28"/>
                <w:szCs w:val="28"/>
              </w:rPr>
              <w:t>Отклонение</w:t>
            </w:r>
          </w:p>
        </w:tc>
      </w:tr>
      <w:tr w:rsidR="00125E57" w:rsidRPr="00443033" w:rsidTr="00D464D8">
        <w:trPr>
          <w:trHeight w:val="90"/>
        </w:trPr>
        <w:tc>
          <w:tcPr>
            <w:tcW w:w="2385" w:type="dxa"/>
          </w:tcPr>
          <w:p w:rsidR="00125E57" w:rsidRPr="00443033" w:rsidRDefault="00125E57" w:rsidP="00D464D8">
            <w:pPr>
              <w:jc w:val="both"/>
              <w:rPr>
                <w:sz w:val="28"/>
                <w:szCs w:val="28"/>
              </w:rPr>
            </w:pPr>
            <w:r w:rsidRPr="00443033">
              <w:rPr>
                <w:sz w:val="28"/>
                <w:szCs w:val="28"/>
              </w:rPr>
              <w:t>Доходы</w:t>
            </w:r>
          </w:p>
        </w:tc>
        <w:tc>
          <w:tcPr>
            <w:tcW w:w="2385" w:type="dxa"/>
          </w:tcPr>
          <w:p w:rsidR="00125E57" w:rsidRPr="00443033" w:rsidRDefault="00125E57" w:rsidP="00D464D8">
            <w:pPr>
              <w:jc w:val="both"/>
              <w:rPr>
                <w:sz w:val="28"/>
                <w:szCs w:val="28"/>
              </w:rPr>
            </w:pPr>
            <w:r>
              <w:rPr>
                <w:sz w:val="28"/>
                <w:szCs w:val="28"/>
              </w:rPr>
              <w:t>76176,5</w:t>
            </w:r>
          </w:p>
        </w:tc>
        <w:tc>
          <w:tcPr>
            <w:tcW w:w="2385" w:type="dxa"/>
          </w:tcPr>
          <w:p w:rsidR="00125E57" w:rsidRPr="00443033" w:rsidRDefault="00125E57" w:rsidP="00D464D8">
            <w:pPr>
              <w:jc w:val="both"/>
              <w:rPr>
                <w:sz w:val="28"/>
                <w:szCs w:val="28"/>
              </w:rPr>
            </w:pPr>
            <w:r>
              <w:rPr>
                <w:sz w:val="28"/>
                <w:szCs w:val="28"/>
              </w:rPr>
              <w:t>35785,7</w:t>
            </w:r>
          </w:p>
        </w:tc>
        <w:tc>
          <w:tcPr>
            <w:tcW w:w="2385" w:type="dxa"/>
          </w:tcPr>
          <w:p w:rsidR="00125E57" w:rsidRPr="00443033" w:rsidRDefault="00125E57" w:rsidP="00D464D8">
            <w:pPr>
              <w:jc w:val="both"/>
              <w:rPr>
                <w:sz w:val="28"/>
                <w:szCs w:val="28"/>
              </w:rPr>
            </w:pPr>
            <w:r>
              <w:rPr>
                <w:sz w:val="28"/>
                <w:szCs w:val="28"/>
              </w:rPr>
              <w:t>-40390,8</w:t>
            </w:r>
          </w:p>
        </w:tc>
      </w:tr>
      <w:tr w:rsidR="00125E57" w:rsidRPr="00443033" w:rsidTr="00D464D8">
        <w:trPr>
          <w:trHeight w:val="90"/>
        </w:trPr>
        <w:tc>
          <w:tcPr>
            <w:tcW w:w="2385" w:type="dxa"/>
          </w:tcPr>
          <w:p w:rsidR="00125E57" w:rsidRPr="00443033" w:rsidRDefault="00125E57" w:rsidP="00D464D8">
            <w:pPr>
              <w:jc w:val="both"/>
              <w:rPr>
                <w:sz w:val="28"/>
                <w:szCs w:val="28"/>
              </w:rPr>
            </w:pPr>
            <w:r w:rsidRPr="00443033">
              <w:rPr>
                <w:sz w:val="28"/>
                <w:szCs w:val="28"/>
              </w:rPr>
              <w:t>Расходы</w:t>
            </w:r>
          </w:p>
        </w:tc>
        <w:tc>
          <w:tcPr>
            <w:tcW w:w="2385" w:type="dxa"/>
          </w:tcPr>
          <w:p w:rsidR="00125E57" w:rsidRPr="00443033" w:rsidRDefault="00125E57" w:rsidP="00D464D8">
            <w:pPr>
              <w:jc w:val="both"/>
              <w:rPr>
                <w:sz w:val="28"/>
                <w:szCs w:val="28"/>
              </w:rPr>
            </w:pPr>
            <w:r>
              <w:rPr>
                <w:sz w:val="28"/>
                <w:szCs w:val="28"/>
              </w:rPr>
              <w:t>78926,5</w:t>
            </w:r>
          </w:p>
        </w:tc>
        <w:tc>
          <w:tcPr>
            <w:tcW w:w="2385" w:type="dxa"/>
          </w:tcPr>
          <w:p w:rsidR="00125E57" w:rsidRPr="00443033" w:rsidRDefault="00125E57" w:rsidP="00D464D8">
            <w:pPr>
              <w:jc w:val="both"/>
              <w:rPr>
                <w:sz w:val="28"/>
                <w:szCs w:val="28"/>
              </w:rPr>
            </w:pPr>
            <w:r>
              <w:rPr>
                <w:sz w:val="28"/>
                <w:szCs w:val="28"/>
              </w:rPr>
              <w:t>66280,1</w:t>
            </w:r>
          </w:p>
        </w:tc>
        <w:tc>
          <w:tcPr>
            <w:tcW w:w="2385" w:type="dxa"/>
          </w:tcPr>
          <w:p w:rsidR="00125E57" w:rsidRPr="00443033" w:rsidRDefault="00125E57" w:rsidP="00D464D8">
            <w:pPr>
              <w:jc w:val="both"/>
              <w:rPr>
                <w:sz w:val="28"/>
                <w:szCs w:val="28"/>
              </w:rPr>
            </w:pPr>
            <w:r>
              <w:rPr>
                <w:sz w:val="28"/>
                <w:szCs w:val="28"/>
              </w:rPr>
              <w:t>-12646,4</w:t>
            </w:r>
          </w:p>
        </w:tc>
      </w:tr>
      <w:tr w:rsidR="00125E57" w:rsidRPr="00443033" w:rsidTr="00D464D8">
        <w:trPr>
          <w:trHeight w:val="90"/>
        </w:trPr>
        <w:tc>
          <w:tcPr>
            <w:tcW w:w="2385" w:type="dxa"/>
          </w:tcPr>
          <w:p w:rsidR="00125E57" w:rsidRPr="00443033" w:rsidRDefault="00125E57" w:rsidP="00D464D8">
            <w:pPr>
              <w:jc w:val="both"/>
              <w:rPr>
                <w:sz w:val="28"/>
                <w:szCs w:val="28"/>
              </w:rPr>
            </w:pPr>
            <w:r w:rsidRPr="00443033">
              <w:rPr>
                <w:sz w:val="28"/>
                <w:szCs w:val="28"/>
              </w:rPr>
              <w:t>дефицит</w:t>
            </w:r>
          </w:p>
        </w:tc>
        <w:tc>
          <w:tcPr>
            <w:tcW w:w="2385" w:type="dxa"/>
          </w:tcPr>
          <w:p w:rsidR="00125E57" w:rsidRPr="00443033" w:rsidRDefault="00125E57" w:rsidP="00D464D8">
            <w:pPr>
              <w:jc w:val="both"/>
              <w:rPr>
                <w:sz w:val="28"/>
                <w:szCs w:val="28"/>
              </w:rPr>
            </w:pPr>
            <w:r>
              <w:rPr>
                <w:sz w:val="28"/>
                <w:szCs w:val="28"/>
              </w:rPr>
              <w:t>-2750</w:t>
            </w:r>
          </w:p>
        </w:tc>
        <w:tc>
          <w:tcPr>
            <w:tcW w:w="2385" w:type="dxa"/>
          </w:tcPr>
          <w:p w:rsidR="00125E57" w:rsidRPr="00443033" w:rsidRDefault="00125E57" w:rsidP="00D464D8">
            <w:pPr>
              <w:jc w:val="both"/>
              <w:rPr>
                <w:sz w:val="28"/>
                <w:szCs w:val="28"/>
              </w:rPr>
            </w:pPr>
            <w:r>
              <w:rPr>
                <w:sz w:val="28"/>
                <w:szCs w:val="28"/>
              </w:rPr>
              <w:t>-3420,0</w:t>
            </w:r>
          </w:p>
        </w:tc>
        <w:tc>
          <w:tcPr>
            <w:tcW w:w="2385" w:type="dxa"/>
          </w:tcPr>
          <w:p w:rsidR="00125E57" w:rsidRPr="00443033" w:rsidRDefault="00125E57" w:rsidP="00D464D8">
            <w:pPr>
              <w:jc w:val="both"/>
              <w:rPr>
                <w:sz w:val="28"/>
                <w:szCs w:val="28"/>
              </w:rPr>
            </w:pPr>
            <w:r>
              <w:rPr>
                <w:sz w:val="28"/>
                <w:szCs w:val="28"/>
              </w:rPr>
              <w:t>+670,0</w:t>
            </w:r>
          </w:p>
        </w:tc>
      </w:tr>
    </w:tbl>
    <w:p w:rsidR="00125E57" w:rsidRPr="0060032F" w:rsidRDefault="00125E57" w:rsidP="004E67B5">
      <w:pPr>
        <w:jc w:val="center"/>
        <w:rPr>
          <w:b/>
          <w:sz w:val="28"/>
          <w:szCs w:val="28"/>
        </w:rPr>
      </w:pPr>
    </w:p>
    <w:p w:rsidR="00125E57" w:rsidRDefault="00125E57" w:rsidP="00E110FC">
      <w:pPr>
        <w:ind w:firstLine="720"/>
        <w:jc w:val="both"/>
        <w:rPr>
          <w:sz w:val="28"/>
          <w:szCs w:val="28"/>
        </w:rPr>
      </w:pPr>
      <w:r w:rsidRPr="005E2B8B">
        <w:rPr>
          <w:sz w:val="28"/>
          <w:szCs w:val="28"/>
        </w:rPr>
        <w:t xml:space="preserve">Уточненный объем доходной части бюджета МО «Город Камызяк» составляет  </w:t>
      </w:r>
      <w:r>
        <w:rPr>
          <w:sz w:val="28"/>
          <w:szCs w:val="28"/>
        </w:rPr>
        <w:t xml:space="preserve">35785,7 </w:t>
      </w:r>
      <w:r w:rsidRPr="005E2B8B">
        <w:rPr>
          <w:sz w:val="28"/>
          <w:szCs w:val="28"/>
        </w:rPr>
        <w:t xml:space="preserve">тыс.руб., в том числе налоговые и неналоговые поступления </w:t>
      </w:r>
      <w:r>
        <w:rPr>
          <w:sz w:val="28"/>
          <w:szCs w:val="28"/>
        </w:rPr>
        <w:t xml:space="preserve">увеличились </w:t>
      </w:r>
      <w:r w:rsidRPr="005E2B8B">
        <w:rPr>
          <w:sz w:val="28"/>
          <w:szCs w:val="28"/>
        </w:rPr>
        <w:t xml:space="preserve">на </w:t>
      </w:r>
      <w:r>
        <w:rPr>
          <w:sz w:val="28"/>
          <w:szCs w:val="28"/>
        </w:rPr>
        <w:t>6700</w:t>
      </w:r>
      <w:r w:rsidRPr="005E2B8B">
        <w:rPr>
          <w:sz w:val="28"/>
          <w:szCs w:val="28"/>
        </w:rPr>
        <w:t xml:space="preserve"> тыс. руб. и составили </w:t>
      </w:r>
      <w:r>
        <w:rPr>
          <w:sz w:val="28"/>
          <w:szCs w:val="28"/>
        </w:rPr>
        <w:t xml:space="preserve">34200 </w:t>
      </w:r>
      <w:r w:rsidRPr="005E2B8B">
        <w:rPr>
          <w:sz w:val="28"/>
          <w:szCs w:val="28"/>
        </w:rPr>
        <w:t xml:space="preserve">тыс.руб., изменения произошли в структуре собственных доходов, безвозмездные поступления составили </w:t>
      </w:r>
      <w:r>
        <w:rPr>
          <w:sz w:val="28"/>
          <w:szCs w:val="28"/>
        </w:rPr>
        <w:t xml:space="preserve">27882,3 </w:t>
      </w:r>
      <w:r w:rsidRPr="005E2B8B">
        <w:rPr>
          <w:sz w:val="28"/>
          <w:szCs w:val="28"/>
        </w:rPr>
        <w:t>тыс.руб.( в том числе из бюджета Астраханской области –</w:t>
      </w:r>
      <w:r>
        <w:rPr>
          <w:sz w:val="28"/>
          <w:szCs w:val="28"/>
        </w:rPr>
        <w:t xml:space="preserve"> 25622,7 </w:t>
      </w:r>
      <w:r w:rsidRPr="005E2B8B">
        <w:rPr>
          <w:sz w:val="28"/>
          <w:szCs w:val="28"/>
        </w:rPr>
        <w:t xml:space="preserve">тыс. руб.).(табл. № 2). </w:t>
      </w:r>
    </w:p>
    <w:p w:rsidR="00125E57" w:rsidRPr="00A311D9" w:rsidRDefault="00125E57" w:rsidP="00A311D9">
      <w:pPr>
        <w:ind w:firstLine="900"/>
        <w:jc w:val="both"/>
        <w:rPr>
          <w:i/>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110FC">
        <w:rPr>
          <w:i/>
          <w:sz w:val="24"/>
          <w:szCs w:val="24"/>
        </w:rPr>
        <w:t xml:space="preserve">       </w:t>
      </w:r>
      <w:r>
        <w:rPr>
          <w:i/>
          <w:sz w:val="24"/>
          <w:szCs w:val="24"/>
        </w:rPr>
        <w:tab/>
      </w:r>
      <w:r w:rsidRPr="00E110FC">
        <w:rPr>
          <w:i/>
          <w:sz w:val="24"/>
          <w:szCs w:val="24"/>
        </w:rPr>
        <w:t xml:space="preserve"> </w:t>
      </w:r>
      <w:r>
        <w:rPr>
          <w:i/>
          <w:sz w:val="24"/>
          <w:szCs w:val="24"/>
        </w:rPr>
        <w:t xml:space="preserve">     </w:t>
      </w:r>
      <w:r w:rsidRPr="00E110FC">
        <w:rPr>
          <w:i/>
          <w:sz w:val="24"/>
          <w:szCs w:val="24"/>
        </w:rPr>
        <w:t xml:space="preserve">Таблица </w:t>
      </w:r>
      <w:r>
        <w:rPr>
          <w:i/>
          <w:sz w:val="24"/>
          <w:szCs w:val="24"/>
        </w:rPr>
        <w:t>2</w:t>
      </w:r>
      <w:r>
        <w:rPr>
          <w:sz w:val="28"/>
          <w:szCs w:val="28"/>
        </w:rPr>
        <w:tab/>
      </w:r>
    </w:p>
    <w:p w:rsidR="00125E57" w:rsidRPr="00F14D99" w:rsidRDefault="00125E57" w:rsidP="00F14D99">
      <w:pPr>
        <w:ind w:firstLine="720"/>
        <w:jc w:val="both"/>
      </w:pPr>
      <w:r>
        <w:tab/>
      </w:r>
      <w:r w:rsidRPr="00DD0010">
        <w:rPr>
          <w:b/>
          <w:sz w:val="26"/>
          <w:szCs w:val="26"/>
        </w:rPr>
        <w:t>Сравнительная  таблица по доходам МО «Город Камызяк» на 2015 год</w:t>
      </w:r>
    </w:p>
    <w:tbl>
      <w:tblPr>
        <w:tblW w:w="11160" w:type="dxa"/>
        <w:tblInd w:w="-432" w:type="dxa"/>
        <w:tblLook w:val="0000"/>
      </w:tblPr>
      <w:tblGrid>
        <w:gridCol w:w="5580"/>
        <w:gridCol w:w="1980"/>
        <w:gridCol w:w="1840"/>
        <w:gridCol w:w="1760"/>
      </w:tblGrid>
      <w:tr w:rsidR="00125E57" w:rsidTr="00F14D99">
        <w:trPr>
          <w:trHeight w:val="885"/>
        </w:trPr>
        <w:tc>
          <w:tcPr>
            <w:tcW w:w="5580" w:type="dxa"/>
            <w:tcBorders>
              <w:top w:val="single" w:sz="4" w:space="0" w:color="auto"/>
              <w:left w:val="single" w:sz="4" w:space="0" w:color="auto"/>
              <w:bottom w:val="single" w:sz="4" w:space="0" w:color="auto"/>
              <w:right w:val="single" w:sz="4" w:space="0" w:color="auto"/>
            </w:tcBorders>
            <w:noWrap/>
            <w:vAlign w:val="center"/>
          </w:tcPr>
          <w:p w:rsidR="00125E57" w:rsidRPr="00DD0010" w:rsidRDefault="00125E57" w:rsidP="00DD0010">
            <w:pPr>
              <w:ind w:left="-823"/>
              <w:jc w:val="center"/>
              <w:rPr>
                <w:b/>
                <w:sz w:val="22"/>
                <w:szCs w:val="22"/>
              </w:rPr>
            </w:pPr>
            <w:r w:rsidRPr="00DD0010">
              <w:rPr>
                <w:b/>
                <w:sz w:val="22"/>
                <w:szCs w:val="22"/>
              </w:rPr>
              <w:t>Наименование показателей</w:t>
            </w:r>
          </w:p>
        </w:tc>
        <w:tc>
          <w:tcPr>
            <w:tcW w:w="1980" w:type="dxa"/>
            <w:tcBorders>
              <w:top w:val="single" w:sz="4" w:space="0" w:color="auto"/>
              <w:left w:val="nil"/>
              <w:bottom w:val="single" w:sz="4" w:space="0" w:color="auto"/>
              <w:right w:val="single" w:sz="4" w:space="0" w:color="auto"/>
            </w:tcBorders>
            <w:vAlign w:val="center"/>
          </w:tcPr>
          <w:p w:rsidR="00125E57" w:rsidRPr="00DD0010" w:rsidRDefault="00125E57" w:rsidP="00DD0010">
            <w:pPr>
              <w:jc w:val="center"/>
              <w:rPr>
                <w:b/>
                <w:bCs/>
                <w:sz w:val="22"/>
                <w:szCs w:val="22"/>
              </w:rPr>
            </w:pPr>
            <w:r w:rsidRPr="00DD0010">
              <w:rPr>
                <w:b/>
                <w:bCs/>
                <w:sz w:val="22"/>
                <w:szCs w:val="22"/>
              </w:rPr>
              <w:t>первоначальный прогноз  2015 года</w:t>
            </w:r>
          </w:p>
        </w:tc>
        <w:tc>
          <w:tcPr>
            <w:tcW w:w="1840" w:type="dxa"/>
            <w:tcBorders>
              <w:top w:val="single" w:sz="4" w:space="0" w:color="auto"/>
              <w:left w:val="nil"/>
              <w:bottom w:val="single" w:sz="4" w:space="0" w:color="auto"/>
              <w:right w:val="single" w:sz="4" w:space="0" w:color="auto"/>
            </w:tcBorders>
            <w:vAlign w:val="center"/>
          </w:tcPr>
          <w:p w:rsidR="00125E57" w:rsidRPr="00DD0010" w:rsidRDefault="00125E57" w:rsidP="00DD0010">
            <w:pPr>
              <w:jc w:val="center"/>
              <w:rPr>
                <w:b/>
                <w:bCs/>
                <w:sz w:val="22"/>
                <w:szCs w:val="22"/>
              </w:rPr>
            </w:pPr>
            <w:r w:rsidRPr="00DD0010">
              <w:rPr>
                <w:b/>
                <w:bCs/>
                <w:sz w:val="22"/>
                <w:szCs w:val="22"/>
              </w:rPr>
              <w:t>уточненный прогноз 2015 года</w:t>
            </w:r>
          </w:p>
        </w:tc>
        <w:tc>
          <w:tcPr>
            <w:tcW w:w="1760" w:type="dxa"/>
            <w:tcBorders>
              <w:top w:val="single" w:sz="4" w:space="0" w:color="auto"/>
              <w:left w:val="nil"/>
              <w:bottom w:val="single" w:sz="4" w:space="0" w:color="auto"/>
              <w:right w:val="single" w:sz="4" w:space="0" w:color="auto"/>
            </w:tcBorders>
            <w:vAlign w:val="center"/>
          </w:tcPr>
          <w:p w:rsidR="00125E57" w:rsidRPr="00DD0010" w:rsidRDefault="00125E57" w:rsidP="00DD0010">
            <w:pPr>
              <w:jc w:val="center"/>
              <w:rPr>
                <w:b/>
                <w:bCs/>
                <w:sz w:val="22"/>
                <w:szCs w:val="22"/>
              </w:rPr>
            </w:pPr>
            <w:r w:rsidRPr="00DD0010">
              <w:rPr>
                <w:b/>
                <w:bCs/>
                <w:sz w:val="22"/>
                <w:szCs w:val="22"/>
              </w:rPr>
              <w:t>Отклонение</w:t>
            </w:r>
          </w:p>
        </w:tc>
      </w:tr>
      <w:tr w:rsidR="00125E57" w:rsidTr="00F14D99">
        <w:trPr>
          <w:trHeight w:val="285"/>
        </w:trPr>
        <w:tc>
          <w:tcPr>
            <w:tcW w:w="5580" w:type="dxa"/>
            <w:tcBorders>
              <w:top w:val="nil"/>
              <w:left w:val="single" w:sz="4" w:space="0" w:color="auto"/>
              <w:bottom w:val="single" w:sz="4" w:space="0" w:color="auto"/>
              <w:right w:val="single" w:sz="4" w:space="0" w:color="auto"/>
            </w:tcBorders>
            <w:shd w:val="clear" w:color="auto" w:fill="FFFF00"/>
            <w:noWrap/>
            <w:vAlign w:val="bottom"/>
          </w:tcPr>
          <w:p w:rsidR="00125E57" w:rsidRPr="00DD0010" w:rsidRDefault="00125E57" w:rsidP="00DD0010">
            <w:pPr>
              <w:rPr>
                <w:b/>
                <w:bCs/>
                <w:sz w:val="22"/>
                <w:szCs w:val="22"/>
              </w:rPr>
            </w:pPr>
            <w:r w:rsidRPr="00DD0010">
              <w:rPr>
                <w:b/>
                <w:bCs/>
                <w:sz w:val="22"/>
                <w:szCs w:val="22"/>
              </w:rPr>
              <w:t>Итого налоговые и неналоговые доходы</w:t>
            </w:r>
          </w:p>
        </w:tc>
        <w:tc>
          <w:tcPr>
            <w:tcW w:w="1980" w:type="dxa"/>
            <w:tcBorders>
              <w:top w:val="nil"/>
              <w:left w:val="nil"/>
              <w:bottom w:val="single" w:sz="4" w:space="0" w:color="auto"/>
              <w:right w:val="single" w:sz="4" w:space="0" w:color="auto"/>
            </w:tcBorders>
            <w:shd w:val="clear" w:color="auto" w:fill="FFFF00"/>
            <w:noWrap/>
            <w:vAlign w:val="center"/>
          </w:tcPr>
          <w:p w:rsidR="00125E57" w:rsidRPr="00DD0010" w:rsidRDefault="00125E57" w:rsidP="00DD0010">
            <w:pPr>
              <w:jc w:val="center"/>
              <w:rPr>
                <w:b/>
                <w:bCs/>
                <w:sz w:val="22"/>
                <w:szCs w:val="22"/>
              </w:rPr>
            </w:pPr>
            <w:r w:rsidRPr="00DD0010">
              <w:rPr>
                <w:b/>
                <w:bCs/>
                <w:sz w:val="22"/>
                <w:szCs w:val="22"/>
              </w:rPr>
              <w:t xml:space="preserve">27 500,0  </w:t>
            </w:r>
          </w:p>
        </w:tc>
        <w:tc>
          <w:tcPr>
            <w:tcW w:w="1840" w:type="dxa"/>
            <w:tcBorders>
              <w:top w:val="nil"/>
              <w:left w:val="nil"/>
              <w:bottom w:val="single" w:sz="4" w:space="0" w:color="auto"/>
              <w:right w:val="single" w:sz="4" w:space="0" w:color="auto"/>
            </w:tcBorders>
            <w:shd w:val="clear" w:color="auto" w:fill="FFFF00"/>
            <w:noWrap/>
            <w:vAlign w:val="center"/>
          </w:tcPr>
          <w:p w:rsidR="00125E57" w:rsidRPr="00DD0010" w:rsidRDefault="00125E57" w:rsidP="00DD0010">
            <w:pPr>
              <w:jc w:val="center"/>
              <w:rPr>
                <w:b/>
                <w:bCs/>
                <w:sz w:val="22"/>
                <w:szCs w:val="22"/>
              </w:rPr>
            </w:pPr>
            <w:r w:rsidRPr="00DD0010">
              <w:rPr>
                <w:b/>
                <w:bCs/>
                <w:sz w:val="22"/>
                <w:szCs w:val="22"/>
              </w:rPr>
              <w:t xml:space="preserve">34 200,0  </w:t>
            </w:r>
          </w:p>
        </w:tc>
        <w:tc>
          <w:tcPr>
            <w:tcW w:w="1760" w:type="dxa"/>
            <w:tcBorders>
              <w:top w:val="nil"/>
              <w:left w:val="nil"/>
              <w:bottom w:val="single" w:sz="4" w:space="0" w:color="auto"/>
              <w:right w:val="single" w:sz="4" w:space="0" w:color="auto"/>
            </w:tcBorders>
            <w:shd w:val="clear" w:color="auto" w:fill="FFFF00"/>
            <w:noWrap/>
            <w:vAlign w:val="center"/>
          </w:tcPr>
          <w:p w:rsidR="00125E57" w:rsidRPr="00DD0010" w:rsidRDefault="00125E57" w:rsidP="00DD0010">
            <w:pPr>
              <w:jc w:val="center"/>
              <w:rPr>
                <w:b/>
                <w:bCs/>
                <w:sz w:val="22"/>
                <w:szCs w:val="22"/>
              </w:rPr>
            </w:pPr>
            <w:r w:rsidRPr="00DD0010">
              <w:rPr>
                <w:b/>
                <w:bCs/>
                <w:sz w:val="22"/>
                <w:szCs w:val="22"/>
              </w:rPr>
              <w:t xml:space="preserve">6 700,0  </w:t>
            </w:r>
          </w:p>
        </w:tc>
      </w:tr>
      <w:tr w:rsidR="00125E57" w:rsidTr="00F14D99">
        <w:trPr>
          <w:trHeight w:val="510"/>
        </w:trPr>
        <w:tc>
          <w:tcPr>
            <w:tcW w:w="5580" w:type="dxa"/>
            <w:tcBorders>
              <w:top w:val="nil"/>
              <w:left w:val="single" w:sz="4" w:space="0" w:color="auto"/>
              <w:bottom w:val="single" w:sz="4" w:space="0" w:color="auto"/>
              <w:right w:val="single" w:sz="4" w:space="0" w:color="auto"/>
            </w:tcBorders>
            <w:vAlign w:val="bottom"/>
          </w:tcPr>
          <w:p w:rsidR="00125E57" w:rsidRPr="00DD0010" w:rsidRDefault="00125E57" w:rsidP="00DD0010">
            <w:pPr>
              <w:rPr>
                <w:b/>
                <w:bCs/>
              </w:rPr>
            </w:pPr>
            <w:r w:rsidRPr="00DD0010">
              <w:rPr>
                <w:b/>
                <w:bCs/>
              </w:rPr>
              <w:t>Акцизы по подакцизным товарам (продукции), производимым на территории Российской Федерации</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5 300,0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5 300,0  </w:t>
            </w:r>
          </w:p>
        </w:tc>
      </w:tr>
      <w:tr w:rsidR="00125E57" w:rsidTr="00F14D99">
        <w:trPr>
          <w:trHeight w:val="315"/>
        </w:trPr>
        <w:tc>
          <w:tcPr>
            <w:tcW w:w="5580" w:type="dxa"/>
            <w:tcBorders>
              <w:top w:val="nil"/>
              <w:left w:val="single" w:sz="4" w:space="0" w:color="auto"/>
              <w:bottom w:val="single" w:sz="4" w:space="0" w:color="auto"/>
              <w:right w:val="single" w:sz="4" w:space="0" w:color="auto"/>
            </w:tcBorders>
            <w:noWrap/>
            <w:vAlign w:val="bottom"/>
          </w:tcPr>
          <w:p w:rsidR="00125E57" w:rsidRPr="00DD0010" w:rsidRDefault="00125E57" w:rsidP="00DD0010">
            <w:pPr>
              <w:rPr>
                <w:b/>
                <w:bCs/>
              </w:rPr>
            </w:pPr>
            <w:r w:rsidRPr="00DD0010">
              <w:rPr>
                <w:b/>
                <w:bCs/>
              </w:rPr>
              <w:t>Налог на доходы физических лиц</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11 994,0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11 994,0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0,0  </w:t>
            </w:r>
          </w:p>
        </w:tc>
      </w:tr>
      <w:tr w:rsidR="00125E57" w:rsidTr="00F14D99">
        <w:trPr>
          <w:trHeight w:val="315"/>
        </w:trPr>
        <w:tc>
          <w:tcPr>
            <w:tcW w:w="5580" w:type="dxa"/>
            <w:tcBorders>
              <w:top w:val="nil"/>
              <w:left w:val="single" w:sz="4" w:space="0" w:color="auto"/>
              <w:bottom w:val="single" w:sz="4" w:space="0" w:color="auto"/>
              <w:right w:val="single" w:sz="4" w:space="0" w:color="auto"/>
            </w:tcBorders>
            <w:vAlign w:val="bottom"/>
          </w:tcPr>
          <w:p w:rsidR="00125E57" w:rsidRPr="00DD0010" w:rsidRDefault="00125E57" w:rsidP="00DD0010">
            <w:pPr>
              <w:rPr>
                <w:b/>
                <w:bCs/>
              </w:rPr>
            </w:pPr>
            <w:r w:rsidRPr="00DD0010">
              <w:rPr>
                <w:b/>
                <w:bCs/>
              </w:rPr>
              <w:t>Единый сельскохозяйственный налог</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840,0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1 210,0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370,0  </w:t>
            </w:r>
          </w:p>
        </w:tc>
      </w:tr>
      <w:tr w:rsidR="00125E57" w:rsidTr="00F14D99">
        <w:trPr>
          <w:trHeight w:val="334"/>
        </w:trPr>
        <w:tc>
          <w:tcPr>
            <w:tcW w:w="5580" w:type="dxa"/>
            <w:tcBorders>
              <w:top w:val="nil"/>
              <w:left w:val="single" w:sz="4" w:space="0" w:color="auto"/>
              <w:bottom w:val="single" w:sz="4" w:space="0" w:color="auto"/>
              <w:right w:val="single" w:sz="4" w:space="0" w:color="auto"/>
            </w:tcBorders>
            <w:vAlign w:val="bottom"/>
          </w:tcPr>
          <w:p w:rsidR="00125E57" w:rsidRPr="00DD0010" w:rsidRDefault="00125E57" w:rsidP="00DD0010">
            <w:pPr>
              <w:rPr>
                <w:b/>
                <w:bCs/>
              </w:rPr>
            </w:pPr>
            <w:r w:rsidRPr="00DD0010">
              <w:rPr>
                <w:b/>
                <w:bCs/>
              </w:rPr>
              <w:t>Налог на имущество физических лиц</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920,0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920,0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0,0  </w:t>
            </w:r>
          </w:p>
        </w:tc>
      </w:tr>
      <w:tr w:rsidR="00125E57" w:rsidTr="00F14D99">
        <w:trPr>
          <w:trHeight w:val="274"/>
        </w:trPr>
        <w:tc>
          <w:tcPr>
            <w:tcW w:w="5580" w:type="dxa"/>
            <w:tcBorders>
              <w:top w:val="nil"/>
              <w:left w:val="single" w:sz="4" w:space="0" w:color="auto"/>
              <w:bottom w:val="single" w:sz="4" w:space="0" w:color="auto"/>
              <w:right w:val="single" w:sz="4" w:space="0" w:color="auto"/>
            </w:tcBorders>
            <w:vAlign w:val="bottom"/>
          </w:tcPr>
          <w:p w:rsidR="00125E57" w:rsidRPr="00DD0010" w:rsidRDefault="00125E57" w:rsidP="00DD0010">
            <w:pPr>
              <w:rPr>
                <w:b/>
                <w:bCs/>
              </w:rPr>
            </w:pPr>
            <w:r w:rsidRPr="00DD0010">
              <w:rPr>
                <w:b/>
                <w:bCs/>
              </w:rPr>
              <w:t>Земельный налог</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10 000,0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10 926,0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926,0  </w:t>
            </w:r>
          </w:p>
        </w:tc>
      </w:tr>
      <w:tr w:rsidR="00125E57" w:rsidTr="00F14D99">
        <w:trPr>
          <w:trHeight w:val="570"/>
        </w:trPr>
        <w:tc>
          <w:tcPr>
            <w:tcW w:w="5580" w:type="dxa"/>
            <w:tcBorders>
              <w:top w:val="nil"/>
              <w:left w:val="single" w:sz="4" w:space="0" w:color="auto"/>
              <w:bottom w:val="single" w:sz="4" w:space="0" w:color="auto"/>
              <w:right w:val="single" w:sz="4" w:space="0" w:color="auto"/>
            </w:tcBorders>
            <w:vAlign w:val="center"/>
          </w:tcPr>
          <w:p w:rsidR="00125E57" w:rsidRPr="00DD0010" w:rsidRDefault="00125E57" w:rsidP="00DD0010">
            <w:pPr>
              <w:rPr>
                <w:b/>
                <w:bCs/>
              </w:rPr>
            </w:pPr>
            <w:r w:rsidRPr="00DD0010">
              <w:rPr>
                <w:b/>
                <w:bCs/>
              </w:rPr>
              <w:t>ЗАДОЛЖЕННОСТЬ И ПЕРЕРАСЧЕТЫ ПО ОТМЕНЕННЫМ НАЛОГАМ, СБОРАМ И ИНЫМ ОБЯЗАТЕЛЬНЫМ ПЛАТЕЖАМ</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50,0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50,0  </w:t>
            </w:r>
          </w:p>
        </w:tc>
      </w:tr>
      <w:tr w:rsidR="00125E57" w:rsidTr="00F14D99">
        <w:trPr>
          <w:trHeight w:val="266"/>
        </w:trPr>
        <w:tc>
          <w:tcPr>
            <w:tcW w:w="5580" w:type="dxa"/>
            <w:tcBorders>
              <w:top w:val="single" w:sz="4" w:space="0" w:color="auto"/>
              <w:left w:val="single" w:sz="4" w:space="0" w:color="auto"/>
              <w:bottom w:val="single" w:sz="4" w:space="0" w:color="auto"/>
              <w:right w:val="single" w:sz="4" w:space="0" w:color="auto"/>
            </w:tcBorders>
            <w:vAlign w:val="center"/>
          </w:tcPr>
          <w:p w:rsidR="00125E57" w:rsidRPr="00DD0010" w:rsidRDefault="00125E57" w:rsidP="00DD0010">
            <w:pPr>
              <w:rPr>
                <w:b/>
                <w:bCs/>
              </w:rPr>
            </w:pPr>
            <w:r w:rsidRPr="00DD0010">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0" w:type="dxa"/>
            <w:tcBorders>
              <w:top w:val="single" w:sz="4" w:space="0" w:color="auto"/>
              <w:left w:val="single" w:sz="4" w:space="0" w:color="auto"/>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2 500,0  </w:t>
            </w:r>
          </w:p>
        </w:tc>
        <w:tc>
          <w:tcPr>
            <w:tcW w:w="1840" w:type="dxa"/>
            <w:tcBorders>
              <w:top w:val="single" w:sz="4" w:space="0" w:color="auto"/>
              <w:left w:val="single" w:sz="4" w:space="0" w:color="auto"/>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2 500,0  </w:t>
            </w:r>
          </w:p>
        </w:tc>
        <w:tc>
          <w:tcPr>
            <w:tcW w:w="1760" w:type="dxa"/>
            <w:tcBorders>
              <w:top w:val="single" w:sz="4" w:space="0" w:color="auto"/>
              <w:left w:val="single" w:sz="4" w:space="0" w:color="auto"/>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0,0  </w:t>
            </w:r>
          </w:p>
        </w:tc>
      </w:tr>
      <w:tr w:rsidR="00125E57" w:rsidTr="00F14D99">
        <w:trPr>
          <w:trHeight w:val="1170"/>
        </w:trPr>
        <w:tc>
          <w:tcPr>
            <w:tcW w:w="5580" w:type="dxa"/>
            <w:tcBorders>
              <w:top w:val="single" w:sz="4" w:space="0" w:color="auto"/>
              <w:left w:val="single" w:sz="4" w:space="0" w:color="auto"/>
              <w:bottom w:val="single" w:sz="4" w:space="0" w:color="auto"/>
              <w:right w:val="single" w:sz="4" w:space="0" w:color="auto"/>
            </w:tcBorders>
            <w:vAlign w:val="center"/>
          </w:tcPr>
          <w:p w:rsidR="00125E57" w:rsidRPr="00DD0010" w:rsidRDefault="00125E57" w:rsidP="00DD0010">
            <w:pPr>
              <w:rPr>
                <w:b/>
                <w:bCs/>
              </w:rPr>
            </w:pPr>
            <w:r w:rsidRPr="00DD0010">
              <w:rPr>
                <w:b/>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w:t>
            </w:r>
          </w:p>
        </w:tc>
        <w:tc>
          <w:tcPr>
            <w:tcW w:w="1980" w:type="dxa"/>
            <w:tcBorders>
              <w:top w:val="single" w:sz="4" w:space="0" w:color="auto"/>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36,0  </w:t>
            </w:r>
          </w:p>
        </w:tc>
        <w:tc>
          <w:tcPr>
            <w:tcW w:w="1840" w:type="dxa"/>
            <w:tcBorders>
              <w:top w:val="single" w:sz="4" w:space="0" w:color="auto"/>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50,0  </w:t>
            </w:r>
          </w:p>
        </w:tc>
        <w:tc>
          <w:tcPr>
            <w:tcW w:w="1760" w:type="dxa"/>
            <w:tcBorders>
              <w:top w:val="single" w:sz="4" w:space="0" w:color="auto"/>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14,0  </w:t>
            </w:r>
          </w:p>
        </w:tc>
      </w:tr>
      <w:tr w:rsidR="00125E57" w:rsidTr="00F14D99">
        <w:trPr>
          <w:trHeight w:val="431"/>
        </w:trPr>
        <w:tc>
          <w:tcPr>
            <w:tcW w:w="5580" w:type="dxa"/>
            <w:tcBorders>
              <w:top w:val="nil"/>
              <w:left w:val="single" w:sz="4" w:space="0" w:color="auto"/>
              <w:bottom w:val="single" w:sz="4" w:space="0" w:color="auto"/>
              <w:right w:val="single" w:sz="4" w:space="0" w:color="auto"/>
            </w:tcBorders>
            <w:vAlign w:val="center"/>
          </w:tcPr>
          <w:p w:rsidR="00125E57" w:rsidRPr="00DD0010" w:rsidRDefault="00125E57" w:rsidP="00DD0010">
            <w:pPr>
              <w:rPr>
                <w:b/>
                <w:bCs/>
              </w:rPr>
            </w:pPr>
            <w:r w:rsidRPr="00DD0010">
              <w:rPr>
                <w:b/>
                <w:bCs/>
              </w:rPr>
              <w:t>ДОХОДЫ ОТ ОКАЗАНИЯ ПЛАТНЫХ УСЛУГ (РАБОТ) И КОМПЕНСАЦИИ ЗАТРАТ ГОСУДАРСТВА</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200,0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200,0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0,0  </w:t>
            </w:r>
          </w:p>
        </w:tc>
      </w:tr>
      <w:tr w:rsidR="00125E57" w:rsidTr="00F14D99">
        <w:trPr>
          <w:trHeight w:val="765"/>
        </w:trPr>
        <w:tc>
          <w:tcPr>
            <w:tcW w:w="5580" w:type="dxa"/>
            <w:tcBorders>
              <w:top w:val="nil"/>
              <w:left w:val="single" w:sz="4" w:space="0" w:color="auto"/>
              <w:bottom w:val="single" w:sz="4" w:space="0" w:color="auto"/>
              <w:right w:val="single" w:sz="4" w:space="0" w:color="auto"/>
            </w:tcBorders>
            <w:vAlign w:val="center"/>
          </w:tcPr>
          <w:p w:rsidR="00125E57" w:rsidRPr="00DD0010" w:rsidRDefault="00125E57" w:rsidP="00DD0010">
            <w:pPr>
              <w:rPr>
                <w:b/>
                <w:bCs/>
              </w:rPr>
            </w:pPr>
            <w:r w:rsidRPr="00DD0010">
              <w:rPr>
                <w:b/>
                <w:bCs/>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1 000,0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1 000,0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0,0  </w:t>
            </w:r>
          </w:p>
        </w:tc>
      </w:tr>
      <w:tr w:rsidR="00125E57" w:rsidTr="00F14D99">
        <w:trPr>
          <w:trHeight w:val="262"/>
        </w:trPr>
        <w:tc>
          <w:tcPr>
            <w:tcW w:w="5580" w:type="dxa"/>
            <w:tcBorders>
              <w:top w:val="nil"/>
              <w:left w:val="single" w:sz="4" w:space="0" w:color="auto"/>
              <w:bottom w:val="single" w:sz="4" w:space="0" w:color="auto"/>
              <w:right w:val="single" w:sz="4" w:space="0" w:color="auto"/>
            </w:tcBorders>
            <w:vAlign w:val="center"/>
          </w:tcPr>
          <w:p w:rsidR="00125E57" w:rsidRPr="00DD0010" w:rsidRDefault="00125E57" w:rsidP="00DD0010">
            <w:pPr>
              <w:rPr>
                <w:b/>
                <w:bCs/>
              </w:rPr>
            </w:pPr>
            <w:r w:rsidRPr="00DD0010">
              <w:rPr>
                <w:b/>
                <w:bCs/>
              </w:rPr>
              <w:t>ШТРАФЫ, САНКЦИИ, ВОЗМЕЩЕНИЕ УЩЕРБА</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10,0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50,0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40,0  </w:t>
            </w:r>
          </w:p>
        </w:tc>
      </w:tr>
      <w:tr w:rsidR="00125E57" w:rsidTr="00F14D99">
        <w:trPr>
          <w:trHeight w:val="299"/>
        </w:trPr>
        <w:tc>
          <w:tcPr>
            <w:tcW w:w="5580" w:type="dxa"/>
            <w:tcBorders>
              <w:top w:val="nil"/>
              <w:left w:val="single" w:sz="4" w:space="0" w:color="auto"/>
              <w:bottom w:val="single" w:sz="4" w:space="0" w:color="auto"/>
              <w:right w:val="single" w:sz="4" w:space="0" w:color="auto"/>
            </w:tcBorders>
            <w:shd w:val="clear" w:color="auto" w:fill="FFFF00"/>
            <w:vAlign w:val="center"/>
          </w:tcPr>
          <w:p w:rsidR="00125E57" w:rsidRPr="00DD0010" w:rsidRDefault="00125E57" w:rsidP="00F14D99">
            <w:pPr>
              <w:rPr>
                <w:b/>
                <w:bCs/>
                <w:sz w:val="22"/>
                <w:szCs w:val="22"/>
              </w:rPr>
            </w:pPr>
            <w:r>
              <w:rPr>
                <w:b/>
                <w:bCs/>
                <w:sz w:val="22"/>
                <w:szCs w:val="22"/>
              </w:rPr>
              <w:t>Безвозмездные поступления</w:t>
            </w:r>
          </w:p>
        </w:tc>
        <w:tc>
          <w:tcPr>
            <w:tcW w:w="1980" w:type="dxa"/>
            <w:tcBorders>
              <w:top w:val="nil"/>
              <w:left w:val="nil"/>
              <w:bottom w:val="single" w:sz="4" w:space="0" w:color="auto"/>
              <w:right w:val="single" w:sz="4" w:space="0" w:color="auto"/>
            </w:tcBorders>
            <w:shd w:val="clear" w:color="auto" w:fill="FFFF00"/>
            <w:noWrap/>
            <w:vAlign w:val="center"/>
          </w:tcPr>
          <w:p w:rsidR="00125E57" w:rsidRPr="00DD0010" w:rsidRDefault="00125E57" w:rsidP="00F14D99">
            <w:pPr>
              <w:jc w:val="center"/>
              <w:rPr>
                <w:b/>
                <w:bCs/>
                <w:sz w:val="22"/>
                <w:szCs w:val="22"/>
              </w:rPr>
            </w:pPr>
            <w:r>
              <w:rPr>
                <w:b/>
                <w:bCs/>
                <w:sz w:val="22"/>
                <w:szCs w:val="22"/>
              </w:rPr>
              <w:t>48 676,5</w:t>
            </w:r>
            <w:r w:rsidRPr="00DD0010">
              <w:rPr>
                <w:b/>
                <w:bCs/>
                <w:sz w:val="22"/>
                <w:szCs w:val="22"/>
              </w:rPr>
              <w:t xml:space="preserve"> </w:t>
            </w:r>
          </w:p>
        </w:tc>
        <w:tc>
          <w:tcPr>
            <w:tcW w:w="1840" w:type="dxa"/>
            <w:tcBorders>
              <w:top w:val="nil"/>
              <w:left w:val="nil"/>
              <w:bottom w:val="single" w:sz="4" w:space="0" w:color="auto"/>
              <w:right w:val="single" w:sz="4" w:space="0" w:color="auto"/>
            </w:tcBorders>
            <w:shd w:val="clear" w:color="auto" w:fill="FFFF00"/>
            <w:noWrap/>
            <w:vAlign w:val="center"/>
          </w:tcPr>
          <w:p w:rsidR="00125E57" w:rsidRDefault="00125E57" w:rsidP="00F14D99">
            <w:pPr>
              <w:jc w:val="center"/>
              <w:rPr>
                <w:b/>
                <w:bCs/>
                <w:sz w:val="22"/>
                <w:szCs w:val="22"/>
              </w:rPr>
            </w:pPr>
          </w:p>
          <w:p w:rsidR="00125E57" w:rsidRDefault="00125E57" w:rsidP="00F14D99">
            <w:pPr>
              <w:jc w:val="center"/>
              <w:rPr>
                <w:b/>
                <w:bCs/>
                <w:sz w:val="22"/>
                <w:szCs w:val="22"/>
              </w:rPr>
            </w:pPr>
            <w:r>
              <w:rPr>
                <w:b/>
                <w:bCs/>
                <w:sz w:val="22"/>
                <w:szCs w:val="22"/>
              </w:rPr>
              <w:t>1585,7</w:t>
            </w:r>
          </w:p>
          <w:p w:rsidR="00125E57" w:rsidRPr="00DD0010" w:rsidRDefault="00125E57" w:rsidP="00F14D99">
            <w:pPr>
              <w:jc w:val="center"/>
              <w:rPr>
                <w:b/>
                <w:bCs/>
                <w:sz w:val="22"/>
                <w:szCs w:val="22"/>
              </w:rPr>
            </w:pPr>
            <w:r w:rsidRPr="00DD0010">
              <w:rPr>
                <w:b/>
                <w:bCs/>
                <w:sz w:val="22"/>
                <w:szCs w:val="22"/>
              </w:rPr>
              <w:t xml:space="preserve">  </w:t>
            </w:r>
          </w:p>
        </w:tc>
        <w:tc>
          <w:tcPr>
            <w:tcW w:w="1760" w:type="dxa"/>
            <w:tcBorders>
              <w:top w:val="nil"/>
              <w:left w:val="nil"/>
              <w:bottom w:val="single" w:sz="4" w:space="0" w:color="auto"/>
              <w:right w:val="single" w:sz="4" w:space="0" w:color="auto"/>
            </w:tcBorders>
            <w:shd w:val="clear" w:color="auto" w:fill="FFFF00"/>
            <w:noWrap/>
            <w:vAlign w:val="center"/>
          </w:tcPr>
          <w:p w:rsidR="00125E57" w:rsidRPr="00DD0010" w:rsidRDefault="00125E57" w:rsidP="00F14D99">
            <w:pPr>
              <w:jc w:val="center"/>
              <w:rPr>
                <w:b/>
                <w:bCs/>
                <w:sz w:val="22"/>
                <w:szCs w:val="22"/>
              </w:rPr>
            </w:pPr>
            <w:r>
              <w:rPr>
                <w:b/>
                <w:bCs/>
                <w:sz w:val="22"/>
                <w:szCs w:val="22"/>
              </w:rPr>
              <w:t>-47090,8</w:t>
            </w:r>
          </w:p>
        </w:tc>
      </w:tr>
      <w:tr w:rsidR="00125E57" w:rsidTr="00F14D99">
        <w:trPr>
          <w:trHeight w:val="585"/>
        </w:trPr>
        <w:tc>
          <w:tcPr>
            <w:tcW w:w="5580" w:type="dxa"/>
            <w:tcBorders>
              <w:top w:val="nil"/>
              <w:left w:val="single" w:sz="4" w:space="0" w:color="auto"/>
              <w:bottom w:val="single" w:sz="4" w:space="0" w:color="auto"/>
              <w:right w:val="single" w:sz="4" w:space="0" w:color="auto"/>
            </w:tcBorders>
            <w:vAlign w:val="center"/>
          </w:tcPr>
          <w:p w:rsidR="00125E57" w:rsidRPr="00DD0010" w:rsidRDefault="00125E57" w:rsidP="00DD0010">
            <w:pPr>
              <w:rPr>
                <w:b/>
                <w:bCs/>
              </w:rPr>
            </w:pPr>
            <w:r w:rsidRPr="00DD0010">
              <w:rPr>
                <w:b/>
                <w:bCs/>
              </w:rPr>
              <w:t>БЕЗВОЗМЕЗДНЫЕ ПОСТУПЛЕНИЯ ОТ ДРУГИХ БЮДЖЕТОВ БЮДЖЕТНОЙ СИСТЕМЫ РОССИЙСКОЙ ФЕДЕРАЦИИ</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xml:space="preserve">48 676,4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Pr>
                <w:b/>
                <w:bCs/>
              </w:rPr>
              <w:t>27882,3</w:t>
            </w:r>
          </w:p>
        </w:tc>
        <w:tc>
          <w:tcPr>
            <w:tcW w:w="1760" w:type="dxa"/>
            <w:tcBorders>
              <w:top w:val="nil"/>
              <w:left w:val="nil"/>
              <w:bottom w:val="single" w:sz="4" w:space="0" w:color="auto"/>
              <w:right w:val="single" w:sz="4" w:space="0" w:color="auto"/>
            </w:tcBorders>
            <w:noWrap/>
            <w:vAlign w:val="center"/>
          </w:tcPr>
          <w:p w:rsidR="00125E57" w:rsidRDefault="00125E57" w:rsidP="00DD0010">
            <w:pPr>
              <w:jc w:val="center"/>
              <w:rPr>
                <w:b/>
                <w:bCs/>
                <w:sz w:val="22"/>
                <w:szCs w:val="22"/>
              </w:rPr>
            </w:pPr>
          </w:p>
          <w:p w:rsidR="00125E57" w:rsidRDefault="00125E57" w:rsidP="00F14D99">
            <w:pPr>
              <w:jc w:val="center"/>
              <w:rPr>
                <w:b/>
                <w:bCs/>
                <w:sz w:val="22"/>
                <w:szCs w:val="22"/>
              </w:rPr>
            </w:pPr>
            <w:r w:rsidRPr="00DD0010">
              <w:rPr>
                <w:b/>
                <w:bCs/>
                <w:sz w:val="22"/>
                <w:szCs w:val="22"/>
              </w:rPr>
              <w:t>-</w:t>
            </w:r>
            <w:r>
              <w:rPr>
                <w:b/>
                <w:bCs/>
                <w:sz w:val="22"/>
                <w:szCs w:val="22"/>
              </w:rPr>
              <w:t>20794,2</w:t>
            </w:r>
          </w:p>
          <w:p w:rsidR="00125E57" w:rsidRPr="00DD0010" w:rsidRDefault="00125E57" w:rsidP="00DD0010">
            <w:pPr>
              <w:jc w:val="center"/>
              <w:rPr>
                <w:b/>
                <w:bCs/>
                <w:sz w:val="22"/>
                <w:szCs w:val="22"/>
              </w:rPr>
            </w:pPr>
            <w:r w:rsidRPr="00DD0010">
              <w:rPr>
                <w:b/>
                <w:bCs/>
                <w:sz w:val="22"/>
                <w:szCs w:val="22"/>
              </w:rPr>
              <w:t xml:space="preserve"> </w:t>
            </w:r>
          </w:p>
        </w:tc>
      </w:tr>
      <w:tr w:rsidR="00125E57" w:rsidTr="00F14D99">
        <w:trPr>
          <w:trHeight w:val="285"/>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 xml:space="preserve">в том числе </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rPr>
            </w:pPr>
            <w:r w:rsidRPr="00DD0010">
              <w:rPr>
                <w:b/>
                <w:bCs/>
              </w:rPr>
              <w:t>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sidRPr="00DD0010">
              <w:rPr>
                <w:b/>
                <w:bCs/>
                <w:sz w:val="22"/>
                <w:szCs w:val="22"/>
              </w:rPr>
              <w:t> </w:t>
            </w:r>
          </w:p>
        </w:tc>
      </w:tr>
      <w:tr w:rsidR="00125E57" w:rsidTr="00F14D99">
        <w:trPr>
          <w:trHeight w:val="231"/>
        </w:trPr>
        <w:tc>
          <w:tcPr>
            <w:tcW w:w="5580" w:type="dxa"/>
            <w:tcBorders>
              <w:top w:val="nil"/>
              <w:left w:val="single" w:sz="4" w:space="0" w:color="auto"/>
              <w:bottom w:val="single" w:sz="4" w:space="0" w:color="auto"/>
              <w:right w:val="single" w:sz="4" w:space="0" w:color="auto"/>
            </w:tcBorders>
            <w:vAlign w:val="center"/>
          </w:tcPr>
          <w:p w:rsidR="00125E57" w:rsidRPr="00DD0010" w:rsidRDefault="00125E57" w:rsidP="00DD0010">
            <w:pPr>
              <w:rPr>
                <w:b/>
                <w:bCs/>
                <w:sz w:val="22"/>
                <w:szCs w:val="22"/>
              </w:rPr>
            </w:pPr>
            <w:r w:rsidRPr="00DD0010">
              <w:rPr>
                <w:b/>
                <w:bCs/>
                <w:sz w:val="22"/>
                <w:szCs w:val="22"/>
              </w:rPr>
              <w:t>за счет средств бюджета Астраханской области</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sidRPr="00DD0010">
              <w:rPr>
                <w:b/>
                <w:bCs/>
                <w:sz w:val="22"/>
                <w:szCs w:val="22"/>
              </w:rPr>
              <w:t xml:space="preserve">47 670,4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Pr>
                <w:b/>
                <w:bCs/>
                <w:sz w:val="22"/>
                <w:szCs w:val="22"/>
              </w:rPr>
              <w:t>25622,7</w:t>
            </w:r>
            <w:r w:rsidRPr="00DD0010">
              <w:rPr>
                <w:b/>
                <w:bCs/>
                <w:sz w:val="22"/>
                <w:szCs w:val="22"/>
              </w:rPr>
              <w:t xml:space="preserve">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Pr>
                <w:b/>
                <w:bCs/>
                <w:sz w:val="22"/>
                <w:szCs w:val="22"/>
              </w:rPr>
              <w:t>-22047,7</w:t>
            </w:r>
            <w:r w:rsidRPr="00DD0010">
              <w:rPr>
                <w:b/>
                <w:bCs/>
                <w:sz w:val="22"/>
                <w:szCs w:val="22"/>
              </w:rPr>
              <w:t xml:space="preserve"> </w:t>
            </w:r>
          </w:p>
        </w:tc>
      </w:tr>
      <w:tr w:rsidR="00125E57" w:rsidTr="00F14D99">
        <w:trPr>
          <w:trHeight w:val="420"/>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Дотации на выравнивание бюджетной обеспеченности</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11 708,4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11 670,6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-37,8  </w:t>
            </w:r>
          </w:p>
        </w:tc>
      </w:tr>
      <w:tr w:rsidR="00125E57" w:rsidTr="00F14D99">
        <w:trPr>
          <w:trHeight w:val="660"/>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Прочие субсидии бюджетам городских поселений ( в рамках реализации государственной программы «Развитие дорожного хозяйства)</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35 852,8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8812,1</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Pr>
                <w:sz w:val="22"/>
                <w:szCs w:val="22"/>
              </w:rPr>
              <w:t>-27040,7</w:t>
            </w:r>
          </w:p>
        </w:tc>
      </w:tr>
      <w:tr w:rsidR="00125E57" w:rsidTr="00F14D99">
        <w:trPr>
          <w:trHeight w:val="660"/>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Субсидии  бюджетам городских поселений на софинансирование капитальных вложений в объекты муниципальной собственности (ГП «Энергосбережение)</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0,0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5 000,0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5 000,0  </w:t>
            </w:r>
          </w:p>
        </w:tc>
      </w:tr>
      <w:tr w:rsidR="00125E57" w:rsidTr="00F14D99">
        <w:trPr>
          <w:trHeight w:val="420"/>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Иные межбюджетные трансферты на комплектование книжных фондов</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109,2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-109,2  </w:t>
            </w:r>
          </w:p>
        </w:tc>
      </w:tr>
      <w:tr w:rsidR="00125E57" w:rsidTr="00F14D99">
        <w:trPr>
          <w:trHeight w:val="525"/>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Иные межбюджетные трансферты на реализацию мероприятий по наказам депутатов</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0,0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100,0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100,0  </w:t>
            </w:r>
          </w:p>
        </w:tc>
      </w:tr>
      <w:tr w:rsidR="00125E57" w:rsidTr="00F14D99">
        <w:trPr>
          <w:trHeight w:val="555"/>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Иные межбюджетные трансферты на противопаводковые мероприятия (Резервный фонд Правительства Астраханской области)</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0,0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40,0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40,0  </w:t>
            </w:r>
          </w:p>
        </w:tc>
      </w:tr>
      <w:tr w:rsidR="00125E57" w:rsidTr="00F14D99">
        <w:trPr>
          <w:trHeight w:val="360"/>
        </w:trPr>
        <w:tc>
          <w:tcPr>
            <w:tcW w:w="5580" w:type="dxa"/>
            <w:tcBorders>
              <w:top w:val="nil"/>
              <w:left w:val="single" w:sz="4" w:space="0" w:color="auto"/>
              <w:bottom w:val="single" w:sz="4" w:space="0" w:color="auto"/>
              <w:right w:val="single" w:sz="4" w:space="0" w:color="auto"/>
            </w:tcBorders>
            <w:vAlign w:val="center"/>
          </w:tcPr>
          <w:p w:rsidR="00125E57" w:rsidRPr="00DD0010" w:rsidRDefault="00125E57" w:rsidP="00DD0010">
            <w:pPr>
              <w:rPr>
                <w:b/>
                <w:bCs/>
                <w:sz w:val="22"/>
                <w:szCs w:val="22"/>
              </w:rPr>
            </w:pPr>
            <w:r w:rsidRPr="00DD0010">
              <w:rPr>
                <w:b/>
                <w:bCs/>
                <w:sz w:val="22"/>
                <w:szCs w:val="22"/>
              </w:rPr>
              <w:t xml:space="preserve">за счет средств бюджета МО </w:t>
            </w:r>
            <w:r>
              <w:rPr>
                <w:b/>
                <w:bCs/>
                <w:sz w:val="22"/>
                <w:szCs w:val="22"/>
              </w:rPr>
              <w:t>«</w:t>
            </w:r>
            <w:r w:rsidRPr="00DD0010">
              <w:rPr>
                <w:b/>
                <w:bCs/>
                <w:sz w:val="22"/>
                <w:szCs w:val="22"/>
              </w:rPr>
              <w:t>Камызякский район</w:t>
            </w:r>
            <w:r>
              <w:rPr>
                <w:b/>
                <w:bCs/>
                <w:sz w:val="22"/>
                <w:szCs w:val="22"/>
              </w:rPr>
              <w:t>»</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sidRPr="00DD0010">
              <w:rPr>
                <w:b/>
                <w:bCs/>
                <w:sz w:val="22"/>
                <w:szCs w:val="22"/>
              </w:rPr>
              <w:t xml:space="preserve">1 006,0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Pr>
                <w:b/>
                <w:bCs/>
                <w:sz w:val="22"/>
                <w:szCs w:val="22"/>
              </w:rPr>
              <w:t>2 259</w:t>
            </w:r>
            <w:r w:rsidRPr="00DD0010">
              <w:rPr>
                <w:b/>
                <w:bCs/>
                <w:sz w:val="22"/>
                <w:szCs w:val="22"/>
              </w:rPr>
              <w:t>,</w:t>
            </w:r>
            <w:r>
              <w:rPr>
                <w:b/>
                <w:bCs/>
                <w:sz w:val="22"/>
                <w:szCs w:val="22"/>
              </w:rPr>
              <w:t>5</w:t>
            </w:r>
            <w:r w:rsidRPr="00DD0010">
              <w:rPr>
                <w:b/>
                <w:bCs/>
                <w:sz w:val="22"/>
                <w:szCs w:val="22"/>
              </w:rPr>
              <w:t xml:space="preserve">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Pr>
                <w:b/>
                <w:bCs/>
                <w:sz w:val="22"/>
                <w:szCs w:val="22"/>
              </w:rPr>
              <w:t>1 253,5</w:t>
            </w:r>
            <w:r w:rsidRPr="00DD0010">
              <w:rPr>
                <w:b/>
                <w:bCs/>
                <w:sz w:val="22"/>
                <w:szCs w:val="22"/>
              </w:rPr>
              <w:t xml:space="preserve">  </w:t>
            </w:r>
          </w:p>
        </w:tc>
      </w:tr>
      <w:tr w:rsidR="00125E57" w:rsidTr="00F14D99">
        <w:trPr>
          <w:trHeight w:val="555"/>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Дотации бюджетам на поддержку мер по обеспечению сбалансированности бюджетов</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1 006,0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1 006,0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0,0  </w:t>
            </w:r>
          </w:p>
        </w:tc>
      </w:tr>
      <w:tr w:rsidR="00125E57" w:rsidTr="00F14D99">
        <w:trPr>
          <w:trHeight w:val="1080"/>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Муниципальная программа «Переселение граждан из аварийного жилищного фонда с учетом необходимости развития малоэтажного жилищного строительства в  муниципальном образовании «Город Камызяк» на 2015-2017 годов»</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0,0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679,7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679,7  </w:t>
            </w:r>
          </w:p>
        </w:tc>
      </w:tr>
      <w:tr w:rsidR="00125E57" w:rsidTr="00F14D99">
        <w:trPr>
          <w:trHeight w:val="555"/>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Муниципальная программа «По сбору и вывозу ТБО в МО «Камызякский район» на 2015-2017 годы»</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0,0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500,0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500,0  </w:t>
            </w:r>
          </w:p>
        </w:tc>
      </w:tr>
      <w:tr w:rsidR="00125E57" w:rsidTr="00F14D99">
        <w:trPr>
          <w:trHeight w:val="915"/>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Подпрограмма «Подготовка и проведение празднования 70-й годовщины Победы в Великой Отечественной войне 1941-1945 годов в 2015 году МП «Развитие культуры в МО «Камызякский район» на 2015-2017 годы»</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0,0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8,1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Pr>
                <w:sz w:val="22"/>
                <w:szCs w:val="22"/>
              </w:rPr>
              <w:t>8,1</w:t>
            </w:r>
            <w:r w:rsidRPr="00DD0010">
              <w:rPr>
                <w:sz w:val="22"/>
                <w:szCs w:val="22"/>
              </w:rPr>
              <w:t xml:space="preserve">  </w:t>
            </w:r>
          </w:p>
        </w:tc>
      </w:tr>
      <w:tr w:rsidR="00125E57" w:rsidTr="00F14D99">
        <w:trPr>
          <w:trHeight w:val="510"/>
        </w:trPr>
        <w:tc>
          <w:tcPr>
            <w:tcW w:w="5580" w:type="dxa"/>
            <w:tcBorders>
              <w:top w:val="nil"/>
              <w:left w:val="single" w:sz="4" w:space="0" w:color="auto"/>
              <w:bottom w:val="single" w:sz="4" w:space="0" w:color="auto"/>
              <w:right w:val="single" w:sz="4" w:space="0" w:color="auto"/>
            </w:tcBorders>
            <w:vAlign w:val="center"/>
          </w:tcPr>
          <w:p w:rsidR="00125E57" w:rsidRDefault="00125E57" w:rsidP="00DD0010">
            <w:r>
              <w:t>Муниципальная программа «Благотворительный марафон 2015 года «Победный май 1945 года»</w:t>
            </w:r>
          </w:p>
        </w:tc>
        <w:tc>
          <w:tcPr>
            <w:tcW w:w="198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0,0  </w:t>
            </w:r>
          </w:p>
        </w:tc>
        <w:tc>
          <w:tcPr>
            <w:tcW w:w="1840" w:type="dxa"/>
            <w:tcBorders>
              <w:top w:val="nil"/>
              <w:left w:val="nil"/>
              <w:bottom w:val="single" w:sz="4" w:space="0" w:color="auto"/>
              <w:right w:val="single" w:sz="4" w:space="0" w:color="auto"/>
            </w:tcBorders>
            <w:noWrap/>
            <w:vAlign w:val="center"/>
          </w:tcPr>
          <w:p w:rsidR="00125E57" w:rsidRDefault="00125E57" w:rsidP="00DD0010">
            <w:pPr>
              <w:jc w:val="center"/>
            </w:pPr>
            <w:r>
              <w:t xml:space="preserve">65,7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sz w:val="22"/>
                <w:szCs w:val="22"/>
              </w:rPr>
            </w:pPr>
            <w:r w:rsidRPr="00DD0010">
              <w:rPr>
                <w:sz w:val="22"/>
                <w:szCs w:val="22"/>
              </w:rPr>
              <w:t xml:space="preserve">65,7  </w:t>
            </w:r>
          </w:p>
        </w:tc>
      </w:tr>
      <w:tr w:rsidR="00125E57" w:rsidTr="00F14D99">
        <w:trPr>
          <w:trHeight w:val="840"/>
        </w:trPr>
        <w:tc>
          <w:tcPr>
            <w:tcW w:w="5580" w:type="dxa"/>
            <w:tcBorders>
              <w:top w:val="nil"/>
              <w:left w:val="single" w:sz="4" w:space="0" w:color="auto"/>
              <w:bottom w:val="single" w:sz="4" w:space="0" w:color="auto"/>
              <w:right w:val="single" w:sz="4" w:space="0" w:color="auto"/>
            </w:tcBorders>
            <w:vAlign w:val="center"/>
          </w:tcPr>
          <w:p w:rsidR="00125E57" w:rsidRPr="00DD0010" w:rsidRDefault="00125E57" w:rsidP="00DD0010">
            <w:pPr>
              <w:rPr>
                <w:b/>
                <w:bCs/>
                <w:sz w:val="22"/>
                <w:szCs w:val="22"/>
              </w:rPr>
            </w:pPr>
            <w:r w:rsidRPr="00DD0010">
              <w:rPr>
                <w:b/>
                <w:bCs/>
                <w:sz w:val="22"/>
                <w:szCs w:val="2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98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sidRPr="00DD0010">
              <w:rPr>
                <w:b/>
                <w:bCs/>
                <w:sz w:val="22"/>
                <w:szCs w:val="22"/>
              </w:rPr>
              <w:t xml:space="preserve">0,0  </w:t>
            </w:r>
          </w:p>
        </w:tc>
        <w:tc>
          <w:tcPr>
            <w:tcW w:w="184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sidRPr="00DD0010">
              <w:rPr>
                <w:b/>
                <w:bCs/>
                <w:sz w:val="22"/>
                <w:szCs w:val="22"/>
              </w:rPr>
              <w:t xml:space="preserve">-26 296,6  </w:t>
            </w:r>
          </w:p>
        </w:tc>
        <w:tc>
          <w:tcPr>
            <w:tcW w:w="1760" w:type="dxa"/>
            <w:tcBorders>
              <w:top w:val="nil"/>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sidRPr="00DD0010">
              <w:rPr>
                <w:b/>
                <w:bCs/>
                <w:sz w:val="22"/>
                <w:szCs w:val="22"/>
              </w:rPr>
              <w:t xml:space="preserve">-26 296,6  </w:t>
            </w:r>
          </w:p>
        </w:tc>
      </w:tr>
      <w:tr w:rsidR="00125E57" w:rsidTr="00F14D99">
        <w:trPr>
          <w:trHeight w:val="840"/>
        </w:trPr>
        <w:tc>
          <w:tcPr>
            <w:tcW w:w="5580" w:type="dxa"/>
            <w:tcBorders>
              <w:top w:val="single" w:sz="4" w:space="0" w:color="auto"/>
              <w:left w:val="single" w:sz="4" w:space="0" w:color="auto"/>
              <w:bottom w:val="single" w:sz="4" w:space="0" w:color="auto"/>
              <w:right w:val="single" w:sz="4" w:space="0" w:color="auto"/>
            </w:tcBorders>
            <w:vAlign w:val="center"/>
          </w:tcPr>
          <w:p w:rsidR="00125E57" w:rsidRPr="00DD0010" w:rsidRDefault="00125E57" w:rsidP="00DD0010">
            <w:pPr>
              <w:rPr>
                <w:b/>
                <w:bCs/>
                <w:sz w:val="22"/>
                <w:szCs w:val="22"/>
              </w:rPr>
            </w:pPr>
            <w:r>
              <w:rPr>
                <w:b/>
                <w:bCs/>
                <w:sz w:val="22"/>
                <w:szCs w:val="22"/>
              </w:rPr>
              <w:t>Итого доходы</w:t>
            </w:r>
          </w:p>
        </w:tc>
        <w:tc>
          <w:tcPr>
            <w:tcW w:w="1980" w:type="dxa"/>
            <w:tcBorders>
              <w:top w:val="single" w:sz="4" w:space="0" w:color="auto"/>
              <w:left w:val="nil"/>
              <w:bottom w:val="single" w:sz="4" w:space="0" w:color="auto"/>
              <w:right w:val="single" w:sz="4" w:space="0" w:color="auto"/>
            </w:tcBorders>
            <w:noWrap/>
            <w:vAlign w:val="center"/>
          </w:tcPr>
          <w:p w:rsidR="00125E57" w:rsidRPr="00DD0010" w:rsidRDefault="00125E57" w:rsidP="00DD0010">
            <w:pPr>
              <w:jc w:val="center"/>
              <w:rPr>
                <w:b/>
                <w:bCs/>
                <w:sz w:val="22"/>
                <w:szCs w:val="22"/>
              </w:rPr>
            </w:pPr>
            <w:r>
              <w:rPr>
                <w:b/>
                <w:bCs/>
                <w:sz w:val="22"/>
                <w:szCs w:val="22"/>
              </w:rPr>
              <w:t>76 176,5</w:t>
            </w:r>
          </w:p>
        </w:tc>
        <w:tc>
          <w:tcPr>
            <w:tcW w:w="1840" w:type="dxa"/>
            <w:tcBorders>
              <w:top w:val="single" w:sz="4" w:space="0" w:color="auto"/>
              <w:left w:val="nil"/>
              <w:bottom w:val="single" w:sz="4" w:space="0" w:color="auto"/>
              <w:right w:val="single" w:sz="4" w:space="0" w:color="auto"/>
            </w:tcBorders>
            <w:noWrap/>
            <w:vAlign w:val="center"/>
          </w:tcPr>
          <w:p w:rsidR="00125E57" w:rsidRDefault="00125E57" w:rsidP="00DD0010">
            <w:pPr>
              <w:jc w:val="center"/>
              <w:rPr>
                <w:b/>
                <w:bCs/>
                <w:sz w:val="22"/>
                <w:szCs w:val="22"/>
              </w:rPr>
            </w:pPr>
          </w:p>
          <w:p w:rsidR="00125E57" w:rsidRDefault="00125E57" w:rsidP="00DD0010">
            <w:pPr>
              <w:jc w:val="center"/>
              <w:rPr>
                <w:b/>
                <w:bCs/>
                <w:sz w:val="22"/>
                <w:szCs w:val="22"/>
              </w:rPr>
            </w:pPr>
            <w:r>
              <w:rPr>
                <w:b/>
                <w:bCs/>
                <w:sz w:val="22"/>
                <w:szCs w:val="22"/>
              </w:rPr>
              <w:t>35785,7</w:t>
            </w:r>
          </w:p>
          <w:p w:rsidR="00125E57" w:rsidRPr="00DD0010" w:rsidRDefault="00125E57" w:rsidP="00DD0010">
            <w:pPr>
              <w:jc w:val="center"/>
              <w:rPr>
                <w:b/>
                <w:bCs/>
                <w:sz w:val="22"/>
                <w:szCs w:val="22"/>
              </w:rPr>
            </w:pPr>
          </w:p>
        </w:tc>
        <w:tc>
          <w:tcPr>
            <w:tcW w:w="1760" w:type="dxa"/>
            <w:tcBorders>
              <w:top w:val="single" w:sz="4" w:space="0" w:color="auto"/>
              <w:left w:val="nil"/>
              <w:bottom w:val="single" w:sz="4" w:space="0" w:color="auto"/>
              <w:right w:val="single" w:sz="4" w:space="0" w:color="auto"/>
            </w:tcBorders>
            <w:noWrap/>
            <w:vAlign w:val="center"/>
          </w:tcPr>
          <w:p w:rsidR="00125E57" w:rsidRDefault="00125E57" w:rsidP="00DD0010">
            <w:pPr>
              <w:jc w:val="center"/>
              <w:rPr>
                <w:b/>
                <w:bCs/>
                <w:sz w:val="22"/>
                <w:szCs w:val="22"/>
              </w:rPr>
            </w:pPr>
          </w:p>
          <w:p w:rsidR="00125E57" w:rsidRDefault="00125E57" w:rsidP="00DD0010">
            <w:pPr>
              <w:jc w:val="center"/>
              <w:rPr>
                <w:b/>
                <w:bCs/>
                <w:sz w:val="22"/>
                <w:szCs w:val="22"/>
              </w:rPr>
            </w:pPr>
            <w:r>
              <w:rPr>
                <w:b/>
                <w:bCs/>
                <w:sz w:val="22"/>
                <w:szCs w:val="22"/>
              </w:rPr>
              <w:t>-40390,8</w:t>
            </w:r>
          </w:p>
          <w:p w:rsidR="00125E57" w:rsidRPr="00DD0010" w:rsidRDefault="00125E57" w:rsidP="00DD0010">
            <w:pPr>
              <w:jc w:val="center"/>
              <w:rPr>
                <w:b/>
                <w:bCs/>
                <w:sz w:val="22"/>
                <w:szCs w:val="22"/>
              </w:rPr>
            </w:pPr>
          </w:p>
        </w:tc>
      </w:tr>
    </w:tbl>
    <w:p w:rsidR="00125E57" w:rsidRPr="00DD0010" w:rsidRDefault="00125E57" w:rsidP="005F4EEC">
      <w:pPr>
        <w:rPr>
          <w:b/>
          <w:sz w:val="26"/>
          <w:szCs w:val="26"/>
        </w:rPr>
      </w:pPr>
    </w:p>
    <w:p w:rsidR="00125E57" w:rsidRPr="003061B5" w:rsidRDefault="00125E57" w:rsidP="0065320E">
      <w:pPr>
        <w:ind w:firstLine="708"/>
        <w:jc w:val="both"/>
        <w:rPr>
          <w:sz w:val="28"/>
          <w:szCs w:val="28"/>
        </w:rPr>
      </w:pPr>
      <w:r w:rsidRPr="003061B5">
        <w:rPr>
          <w:sz w:val="28"/>
          <w:szCs w:val="28"/>
        </w:rPr>
        <w:t xml:space="preserve">В целом доходная часть бюджета МО «Город Камызяк» уменьшилась на </w:t>
      </w:r>
      <w:r>
        <w:rPr>
          <w:sz w:val="28"/>
          <w:szCs w:val="28"/>
        </w:rPr>
        <w:t xml:space="preserve">40390,8 </w:t>
      </w:r>
      <w:r w:rsidRPr="003061B5">
        <w:rPr>
          <w:sz w:val="28"/>
          <w:szCs w:val="28"/>
        </w:rPr>
        <w:t xml:space="preserve"> тыс. руб., путем уменьшения безвозмездных поступлений на </w:t>
      </w:r>
      <w:r>
        <w:rPr>
          <w:sz w:val="28"/>
          <w:szCs w:val="28"/>
        </w:rPr>
        <w:t>47090,8</w:t>
      </w:r>
      <w:r w:rsidRPr="003061B5">
        <w:rPr>
          <w:sz w:val="28"/>
          <w:szCs w:val="28"/>
        </w:rPr>
        <w:t xml:space="preserve"> тыс. руб. и увеличения налоговых и неналоговых поступлений на 6700,0 тыс. руб.:</w:t>
      </w:r>
    </w:p>
    <w:p w:rsidR="00125E57" w:rsidRPr="003061B5" w:rsidRDefault="00125E57" w:rsidP="0065320E">
      <w:pPr>
        <w:jc w:val="both"/>
        <w:rPr>
          <w:sz w:val="28"/>
          <w:szCs w:val="28"/>
        </w:rPr>
      </w:pPr>
      <w:r w:rsidRPr="003061B5">
        <w:rPr>
          <w:sz w:val="28"/>
          <w:szCs w:val="28"/>
        </w:rPr>
        <w:tab/>
      </w:r>
      <w:r w:rsidRPr="003061B5">
        <w:rPr>
          <w:b/>
          <w:sz w:val="28"/>
          <w:szCs w:val="28"/>
        </w:rPr>
        <w:t>1.</w:t>
      </w:r>
      <w:r w:rsidRPr="003061B5">
        <w:rPr>
          <w:sz w:val="28"/>
          <w:szCs w:val="28"/>
        </w:rPr>
        <w:t xml:space="preserve"> </w:t>
      </w:r>
      <w:r w:rsidRPr="003061B5">
        <w:rPr>
          <w:b/>
          <w:sz w:val="28"/>
          <w:szCs w:val="28"/>
        </w:rPr>
        <w:t>Безвозмездные поступления из бюджета Астраханской области</w:t>
      </w:r>
      <w:r w:rsidRPr="003061B5">
        <w:rPr>
          <w:sz w:val="28"/>
          <w:szCs w:val="28"/>
        </w:rPr>
        <w:t xml:space="preserve"> в бюджет МО «Город Камызяк» уменьшились на сумму </w:t>
      </w:r>
      <w:r>
        <w:rPr>
          <w:sz w:val="28"/>
          <w:szCs w:val="28"/>
        </w:rPr>
        <w:t>22047,7</w:t>
      </w:r>
      <w:r w:rsidRPr="003061B5">
        <w:rPr>
          <w:sz w:val="28"/>
          <w:szCs w:val="28"/>
        </w:rPr>
        <w:t xml:space="preserve"> тыс. руб., в том числе за счет следующих изменений:</w:t>
      </w:r>
    </w:p>
    <w:p w:rsidR="00125E57" w:rsidRPr="003061B5" w:rsidRDefault="00125E57" w:rsidP="0065320E">
      <w:pPr>
        <w:ind w:firstLine="900"/>
        <w:jc w:val="both"/>
        <w:rPr>
          <w:i/>
          <w:sz w:val="28"/>
          <w:szCs w:val="28"/>
        </w:rPr>
      </w:pPr>
      <w:r w:rsidRPr="003061B5">
        <w:rPr>
          <w:i/>
          <w:sz w:val="28"/>
          <w:szCs w:val="28"/>
        </w:rPr>
        <w:t>1.1. Увеличение по следующим позициям:</w:t>
      </w:r>
    </w:p>
    <w:p w:rsidR="00125E57" w:rsidRPr="003061B5" w:rsidRDefault="00125E57" w:rsidP="0065320E">
      <w:pPr>
        <w:ind w:firstLine="900"/>
        <w:jc w:val="both"/>
        <w:rPr>
          <w:sz w:val="28"/>
          <w:szCs w:val="28"/>
        </w:rPr>
      </w:pPr>
      <w:r w:rsidRPr="003061B5">
        <w:rPr>
          <w:sz w:val="28"/>
          <w:szCs w:val="28"/>
        </w:rPr>
        <w:t>- субсидии  бюджетам городских поселений на софинансирование капитальных вложений в объекты муниципальной собственности (ГП «Энергосбережение) – 5000,0 тыс. руб. (строительство объединенной котельной мкр. «Южный»);</w:t>
      </w:r>
    </w:p>
    <w:p w:rsidR="00125E57" w:rsidRPr="003061B5" w:rsidRDefault="00125E57" w:rsidP="0065320E">
      <w:pPr>
        <w:ind w:firstLine="900"/>
        <w:jc w:val="both"/>
        <w:rPr>
          <w:sz w:val="28"/>
          <w:szCs w:val="28"/>
        </w:rPr>
      </w:pPr>
      <w:r w:rsidRPr="003061B5">
        <w:rPr>
          <w:sz w:val="28"/>
          <w:szCs w:val="28"/>
        </w:rPr>
        <w:t>- иные межбюджетные трансферты на реализацию мероприятий по наказам депутатов – 100,0 тыс. руб. (благоустройство города Камызяк);</w:t>
      </w:r>
    </w:p>
    <w:p w:rsidR="00125E57" w:rsidRPr="003061B5" w:rsidRDefault="00125E57" w:rsidP="0065320E">
      <w:pPr>
        <w:ind w:firstLine="900"/>
        <w:jc w:val="both"/>
        <w:rPr>
          <w:sz w:val="28"/>
          <w:szCs w:val="28"/>
        </w:rPr>
      </w:pPr>
      <w:r w:rsidRPr="003061B5">
        <w:rPr>
          <w:sz w:val="28"/>
          <w:szCs w:val="28"/>
        </w:rPr>
        <w:t>- иные межбюджетные трансферты на противопаводковые мероприятия (Резервный фонд Правительства Астраханской области) – 40,0 тыс. руб.;</w:t>
      </w:r>
    </w:p>
    <w:p w:rsidR="00125E57" w:rsidRPr="003061B5" w:rsidRDefault="00125E57" w:rsidP="00761CDE">
      <w:pPr>
        <w:ind w:firstLine="900"/>
        <w:jc w:val="both"/>
        <w:rPr>
          <w:i/>
          <w:sz w:val="28"/>
          <w:szCs w:val="28"/>
        </w:rPr>
      </w:pPr>
      <w:r w:rsidRPr="003061B5">
        <w:rPr>
          <w:sz w:val="28"/>
          <w:szCs w:val="28"/>
        </w:rPr>
        <w:t>1</w:t>
      </w:r>
      <w:r w:rsidRPr="003061B5">
        <w:rPr>
          <w:i/>
          <w:sz w:val="28"/>
          <w:szCs w:val="28"/>
        </w:rPr>
        <w:t>.2. Уменьшение по следующим позициям:</w:t>
      </w:r>
    </w:p>
    <w:p w:rsidR="00125E57" w:rsidRPr="003061B5" w:rsidRDefault="00125E57" w:rsidP="00761CDE">
      <w:pPr>
        <w:ind w:left="192" w:firstLine="708"/>
        <w:jc w:val="both"/>
        <w:rPr>
          <w:sz w:val="28"/>
          <w:szCs w:val="28"/>
        </w:rPr>
      </w:pPr>
      <w:r w:rsidRPr="003061B5">
        <w:rPr>
          <w:sz w:val="28"/>
          <w:szCs w:val="28"/>
        </w:rPr>
        <w:t>- дотации на выравнивание бюджетной обеспеченности  - 37,8 тыс. руб.</w:t>
      </w:r>
    </w:p>
    <w:p w:rsidR="00125E57" w:rsidRPr="003061B5" w:rsidRDefault="00125E57" w:rsidP="0065320E">
      <w:pPr>
        <w:ind w:firstLine="900"/>
        <w:jc w:val="both"/>
        <w:rPr>
          <w:sz w:val="28"/>
          <w:szCs w:val="28"/>
        </w:rPr>
      </w:pPr>
      <w:r w:rsidRPr="003061B5">
        <w:rPr>
          <w:sz w:val="28"/>
          <w:szCs w:val="28"/>
        </w:rPr>
        <w:t xml:space="preserve">- субсидия по Государственной программе «Развитие дорожного хозяйства Астраханской области на 2012-2016 годы и перспективу до 2020 года» -  </w:t>
      </w:r>
      <w:r>
        <w:rPr>
          <w:sz w:val="28"/>
          <w:szCs w:val="28"/>
        </w:rPr>
        <w:t xml:space="preserve">27040,7 </w:t>
      </w:r>
      <w:r w:rsidRPr="003061B5">
        <w:rPr>
          <w:sz w:val="28"/>
          <w:szCs w:val="28"/>
        </w:rPr>
        <w:t>тыс. руб.;</w:t>
      </w:r>
    </w:p>
    <w:p w:rsidR="00125E57" w:rsidRPr="003061B5" w:rsidRDefault="00125E57" w:rsidP="00761CDE">
      <w:pPr>
        <w:ind w:firstLine="900"/>
        <w:jc w:val="both"/>
        <w:rPr>
          <w:sz w:val="28"/>
          <w:szCs w:val="28"/>
        </w:rPr>
      </w:pPr>
      <w:r w:rsidRPr="003061B5">
        <w:rPr>
          <w:sz w:val="28"/>
          <w:szCs w:val="28"/>
        </w:rPr>
        <w:t>- иные межбюджетные трансферты на комплектование книжных фондов – 109,2 тыс. руб.</w:t>
      </w:r>
    </w:p>
    <w:p w:rsidR="00125E57" w:rsidRPr="003061B5" w:rsidRDefault="00125E57" w:rsidP="0065320E">
      <w:pPr>
        <w:ind w:firstLine="900"/>
        <w:jc w:val="both"/>
        <w:rPr>
          <w:sz w:val="28"/>
          <w:szCs w:val="28"/>
        </w:rPr>
      </w:pPr>
      <w:r w:rsidRPr="003061B5">
        <w:rPr>
          <w:b/>
          <w:sz w:val="28"/>
          <w:szCs w:val="28"/>
        </w:rPr>
        <w:t>2.</w:t>
      </w:r>
      <w:r w:rsidRPr="003061B5">
        <w:rPr>
          <w:sz w:val="28"/>
          <w:szCs w:val="28"/>
        </w:rPr>
        <w:t xml:space="preserve"> </w:t>
      </w:r>
      <w:r w:rsidRPr="003061B5">
        <w:rPr>
          <w:b/>
          <w:sz w:val="28"/>
          <w:szCs w:val="28"/>
        </w:rPr>
        <w:t>Безвозмездные поступления из бюджета  МО «Камызякский район»</w:t>
      </w:r>
      <w:r w:rsidRPr="003061B5">
        <w:rPr>
          <w:sz w:val="28"/>
          <w:szCs w:val="28"/>
        </w:rPr>
        <w:t xml:space="preserve"> в бюджет МО «Город Камызяк»  увеличены на сумму  1253,5 тыс. руб.</w:t>
      </w:r>
      <w:r w:rsidRPr="003061B5">
        <w:rPr>
          <w:b/>
          <w:sz w:val="28"/>
          <w:szCs w:val="28"/>
        </w:rPr>
        <w:t xml:space="preserve">,  </w:t>
      </w:r>
      <w:r w:rsidRPr="003061B5">
        <w:rPr>
          <w:sz w:val="28"/>
          <w:szCs w:val="28"/>
        </w:rPr>
        <w:t>в том числе:</w:t>
      </w:r>
    </w:p>
    <w:p w:rsidR="00125E57" w:rsidRPr="003061B5" w:rsidRDefault="00125E57" w:rsidP="0065320E">
      <w:pPr>
        <w:ind w:firstLine="900"/>
        <w:jc w:val="both"/>
        <w:rPr>
          <w:i/>
          <w:sz w:val="28"/>
          <w:szCs w:val="28"/>
        </w:rPr>
      </w:pPr>
      <w:r w:rsidRPr="003061B5">
        <w:rPr>
          <w:i/>
          <w:sz w:val="28"/>
          <w:szCs w:val="28"/>
        </w:rPr>
        <w:t xml:space="preserve"> Увеличение по следующим позициям:</w:t>
      </w:r>
    </w:p>
    <w:p w:rsidR="00125E57" w:rsidRPr="003061B5" w:rsidRDefault="00125E57" w:rsidP="0065320E">
      <w:pPr>
        <w:ind w:firstLine="900"/>
        <w:jc w:val="both"/>
        <w:rPr>
          <w:sz w:val="28"/>
          <w:szCs w:val="28"/>
        </w:rPr>
      </w:pPr>
      <w:r w:rsidRPr="003061B5">
        <w:rPr>
          <w:sz w:val="28"/>
          <w:szCs w:val="28"/>
        </w:rPr>
        <w:t>-  по муниципальной программе «Переселение граждан из аварийного жилищного фонда с учетом необходимости развития малоэтажного жилищного строительства в  муниципальном образовании «Город Камызяк» на 2015-2017 годов» - 679,7 тыс. руб.</w:t>
      </w:r>
    </w:p>
    <w:p w:rsidR="00125E57" w:rsidRPr="003061B5" w:rsidRDefault="00125E57" w:rsidP="0065320E">
      <w:pPr>
        <w:ind w:firstLine="900"/>
        <w:jc w:val="both"/>
        <w:rPr>
          <w:sz w:val="28"/>
          <w:szCs w:val="28"/>
        </w:rPr>
      </w:pPr>
      <w:r w:rsidRPr="003061B5">
        <w:rPr>
          <w:sz w:val="28"/>
          <w:szCs w:val="28"/>
        </w:rPr>
        <w:t>- по муниципальной программе «По сбору и вывозу ТБО в МО «Камызякский район» на 2015-2017 годы» - 500,0 тыс. руб.</w:t>
      </w:r>
    </w:p>
    <w:p w:rsidR="00125E57" w:rsidRPr="003061B5" w:rsidRDefault="00125E57" w:rsidP="0065320E">
      <w:pPr>
        <w:ind w:firstLine="900"/>
        <w:jc w:val="both"/>
        <w:rPr>
          <w:sz w:val="28"/>
          <w:szCs w:val="28"/>
        </w:rPr>
      </w:pPr>
      <w:r w:rsidRPr="003061B5">
        <w:rPr>
          <w:sz w:val="28"/>
          <w:szCs w:val="28"/>
        </w:rPr>
        <w:t>- по подпрограмме «Подготовка и проведение празднования 70-й годовщины Победы в Великой Отечественной войне 1941-1945 годов в 2015 году МП «Развитие культуры в МО «Камызякский район» на 2015-2017 годы» - 8,1 тыс. руб.;</w:t>
      </w:r>
    </w:p>
    <w:p w:rsidR="00125E57" w:rsidRPr="003061B5" w:rsidRDefault="00125E57" w:rsidP="0065320E">
      <w:pPr>
        <w:ind w:firstLine="900"/>
        <w:jc w:val="both"/>
        <w:rPr>
          <w:sz w:val="28"/>
          <w:szCs w:val="28"/>
        </w:rPr>
      </w:pPr>
      <w:r w:rsidRPr="003061B5">
        <w:rPr>
          <w:sz w:val="28"/>
          <w:szCs w:val="28"/>
        </w:rPr>
        <w:t xml:space="preserve"> - по муниципальной программе «Благотворительный марафон 2015 года «Победный май 1945 года» - 65,7 тыс. руб.</w:t>
      </w:r>
    </w:p>
    <w:p w:rsidR="00125E57" w:rsidRPr="003061B5" w:rsidRDefault="00125E57" w:rsidP="0065320E">
      <w:pPr>
        <w:jc w:val="both"/>
        <w:rPr>
          <w:sz w:val="28"/>
          <w:szCs w:val="28"/>
        </w:rPr>
      </w:pPr>
      <w:r w:rsidRPr="003061B5">
        <w:rPr>
          <w:sz w:val="28"/>
          <w:szCs w:val="28"/>
        </w:rPr>
        <w:tab/>
      </w:r>
      <w:r w:rsidRPr="003061B5">
        <w:rPr>
          <w:b/>
          <w:sz w:val="28"/>
          <w:szCs w:val="28"/>
        </w:rPr>
        <w:t>3.</w:t>
      </w:r>
      <w:r w:rsidRPr="003061B5">
        <w:rPr>
          <w:sz w:val="28"/>
          <w:szCs w:val="28"/>
        </w:rPr>
        <w:t xml:space="preserve"> Увеличение налоговых и неналоговых доходов на 6700,0 тыс. руб., в том числе:</w:t>
      </w:r>
    </w:p>
    <w:p w:rsidR="00125E57" w:rsidRPr="003061B5" w:rsidRDefault="00125E57" w:rsidP="0065320E">
      <w:pPr>
        <w:ind w:firstLine="900"/>
        <w:jc w:val="both"/>
        <w:rPr>
          <w:sz w:val="28"/>
          <w:szCs w:val="28"/>
        </w:rPr>
      </w:pPr>
      <w:r w:rsidRPr="003061B5">
        <w:rPr>
          <w:sz w:val="28"/>
          <w:szCs w:val="28"/>
        </w:rPr>
        <w:t>-  акцизы по подакцизным товарам (дорожный фонд) - 5300,0 тыс. руб.;</w:t>
      </w:r>
    </w:p>
    <w:p w:rsidR="00125E57" w:rsidRPr="003061B5" w:rsidRDefault="00125E57" w:rsidP="0065320E">
      <w:pPr>
        <w:ind w:firstLine="900"/>
        <w:jc w:val="both"/>
        <w:rPr>
          <w:sz w:val="28"/>
          <w:szCs w:val="28"/>
        </w:rPr>
      </w:pPr>
      <w:r w:rsidRPr="003061B5">
        <w:rPr>
          <w:sz w:val="28"/>
          <w:szCs w:val="28"/>
        </w:rPr>
        <w:t>- единый сельскохозяйственный налог (по факту поступления)   - 370,0 тыс. руб.;</w:t>
      </w:r>
    </w:p>
    <w:p w:rsidR="00125E57" w:rsidRPr="003061B5" w:rsidRDefault="00125E57" w:rsidP="0065320E">
      <w:pPr>
        <w:ind w:firstLine="900"/>
        <w:jc w:val="both"/>
        <w:rPr>
          <w:sz w:val="28"/>
          <w:szCs w:val="28"/>
        </w:rPr>
      </w:pPr>
      <w:r w:rsidRPr="003061B5">
        <w:rPr>
          <w:sz w:val="28"/>
          <w:szCs w:val="28"/>
        </w:rPr>
        <w:t>-  земельный налог – 926,0 тыс. руб.;</w:t>
      </w:r>
    </w:p>
    <w:p w:rsidR="00125E57" w:rsidRPr="003061B5" w:rsidRDefault="00125E57" w:rsidP="0065320E">
      <w:pPr>
        <w:ind w:firstLine="900"/>
        <w:jc w:val="both"/>
        <w:rPr>
          <w:sz w:val="28"/>
          <w:szCs w:val="28"/>
        </w:rPr>
      </w:pPr>
      <w:r w:rsidRPr="003061B5">
        <w:rPr>
          <w:sz w:val="28"/>
          <w:szCs w:val="28"/>
        </w:rPr>
        <w:t>-  доходы от сдачи в аренду имущества – 14,0 тыс. руб.</w:t>
      </w:r>
    </w:p>
    <w:p w:rsidR="00125E57" w:rsidRPr="003061B5" w:rsidRDefault="00125E57" w:rsidP="0065320E">
      <w:pPr>
        <w:ind w:firstLine="900"/>
        <w:jc w:val="both"/>
        <w:rPr>
          <w:sz w:val="28"/>
          <w:szCs w:val="28"/>
        </w:rPr>
      </w:pPr>
      <w:r w:rsidRPr="003061B5">
        <w:rPr>
          <w:sz w:val="28"/>
          <w:szCs w:val="28"/>
        </w:rPr>
        <w:t>-  прочие доходы (штрафы, перерасчеты)  - 90,0 тыс. руб.</w:t>
      </w:r>
      <w:r w:rsidRPr="003061B5">
        <w:rPr>
          <w:sz w:val="28"/>
          <w:szCs w:val="28"/>
        </w:rPr>
        <w:tab/>
      </w:r>
      <w:r w:rsidRPr="003061B5">
        <w:rPr>
          <w:sz w:val="28"/>
          <w:szCs w:val="28"/>
        </w:rPr>
        <w:tab/>
      </w:r>
      <w:r w:rsidRPr="003061B5">
        <w:rPr>
          <w:sz w:val="28"/>
          <w:szCs w:val="28"/>
        </w:rPr>
        <w:tab/>
      </w:r>
      <w:r w:rsidRPr="003061B5">
        <w:rPr>
          <w:sz w:val="28"/>
          <w:szCs w:val="28"/>
        </w:rPr>
        <w:tab/>
      </w:r>
      <w:r w:rsidRPr="003061B5">
        <w:rPr>
          <w:sz w:val="28"/>
          <w:szCs w:val="28"/>
        </w:rPr>
        <w:tab/>
      </w:r>
      <w:r w:rsidRPr="003061B5">
        <w:rPr>
          <w:sz w:val="28"/>
          <w:szCs w:val="28"/>
        </w:rPr>
        <w:tab/>
      </w:r>
      <w:r w:rsidRPr="003061B5">
        <w:rPr>
          <w:sz w:val="28"/>
          <w:szCs w:val="28"/>
        </w:rPr>
        <w:tab/>
      </w:r>
      <w:r w:rsidRPr="003061B5">
        <w:rPr>
          <w:sz w:val="28"/>
          <w:szCs w:val="28"/>
        </w:rPr>
        <w:tab/>
      </w:r>
    </w:p>
    <w:p w:rsidR="00125E57" w:rsidRPr="003061B5" w:rsidRDefault="00125E57" w:rsidP="0065320E">
      <w:pPr>
        <w:ind w:firstLine="900"/>
        <w:jc w:val="both"/>
        <w:rPr>
          <w:sz w:val="28"/>
          <w:szCs w:val="28"/>
        </w:rPr>
      </w:pPr>
      <w:r w:rsidRPr="003061B5">
        <w:rPr>
          <w:b/>
          <w:sz w:val="28"/>
          <w:szCs w:val="28"/>
        </w:rPr>
        <w:t>4.</w:t>
      </w:r>
      <w:r w:rsidRPr="003061B5">
        <w:rPr>
          <w:sz w:val="28"/>
          <w:szCs w:val="28"/>
        </w:rPr>
        <w:t xml:space="preserve"> Осуществлен возврат в бюджет МО «Камызякский район» остаток целевых средств, неиспользованных в 2014 году  (по переселению граждан из аварийного жилищного фонда) в объеме 26296,6 тыс. рублей.</w:t>
      </w:r>
    </w:p>
    <w:p w:rsidR="00125E57" w:rsidRPr="003061B5" w:rsidRDefault="00125E57" w:rsidP="0065320E">
      <w:pPr>
        <w:pStyle w:val="NoSpacing"/>
        <w:ind w:firstLine="709"/>
        <w:jc w:val="both"/>
        <w:rPr>
          <w:rFonts w:ascii="Times New Roman" w:hAnsi="Times New Roman" w:cs="Times New Roman"/>
          <w:sz w:val="28"/>
          <w:szCs w:val="28"/>
        </w:rPr>
      </w:pPr>
      <w:r w:rsidRPr="003061B5">
        <w:rPr>
          <w:rFonts w:ascii="Times New Roman" w:hAnsi="Times New Roman" w:cs="Times New Roman"/>
          <w:b/>
          <w:sz w:val="28"/>
          <w:szCs w:val="28"/>
        </w:rPr>
        <w:t xml:space="preserve">   </w:t>
      </w:r>
    </w:p>
    <w:p w:rsidR="00125E57" w:rsidRPr="003061B5" w:rsidRDefault="00125E57" w:rsidP="0065320E">
      <w:pPr>
        <w:ind w:firstLine="900"/>
        <w:jc w:val="both"/>
        <w:rPr>
          <w:sz w:val="28"/>
          <w:szCs w:val="28"/>
        </w:rPr>
      </w:pPr>
      <w:r w:rsidRPr="003061B5">
        <w:rPr>
          <w:sz w:val="28"/>
          <w:szCs w:val="28"/>
        </w:rPr>
        <w:t xml:space="preserve">В итоге, доходная часть бюджета уменьшена на 38084,0 тыс. руб. (за счет возврата  целевых средств) и составила к уточнению 38092,5 тыс. рублей. </w:t>
      </w:r>
    </w:p>
    <w:p w:rsidR="00125E57" w:rsidRPr="003061B5" w:rsidRDefault="00125E57" w:rsidP="0065320E">
      <w:pPr>
        <w:ind w:firstLine="900"/>
        <w:jc w:val="both"/>
        <w:rPr>
          <w:sz w:val="28"/>
          <w:szCs w:val="28"/>
        </w:rPr>
      </w:pPr>
      <w:r w:rsidRPr="003061B5">
        <w:rPr>
          <w:sz w:val="28"/>
          <w:szCs w:val="28"/>
        </w:rPr>
        <w:t>В связи с увеличением  прогноза поступления налоговых и неналоговых  доходов на 6700,0 тыс. руб., размер дефицита бюджета увеличен на 670 тыс. руб. и составил 3420,0 тыс. рублей.</w:t>
      </w:r>
    </w:p>
    <w:p w:rsidR="00125E57" w:rsidRPr="003061B5" w:rsidRDefault="00125E57" w:rsidP="0065320E">
      <w:pPr>
        <w:ind w:firstLine="900"/>
        <w:jc w:val="both"/>
        <w:rPr>
          <w:sz w:val="28"/>
          <w:szCs w:val="28"/>
        </w:rPr>
      </w:pPr>
      <w:r w:rsidRPr="003061B5">
        <w:rPr>
          <w:sz w:val="28"/>
          <w:szCs w:val="28"/>
        </w:rPr>
        <w:t xml:space="preserve">Расходная часть бюджета МО «Город Камызяк» с учетом остатка денежных средств на счетах на 01.01.2015 г. (27074,4 тыс. руб.) и увеличения дефицита бюджета составила  к уточнению </w:t>
      </w:r>
      <w:r>
        <w:rPr>
          <w:sz w:val="28"/>
          <w:szCs w:val="28"/>
        </w:rPr>
        <w:t xml:space="preserve">66280,1 </w:t>
      </w:r>
      <w:r w:rsidRPr="003061B5">
        <w:rPr>
          <w:sz w:val="28"/>
          <w:szCs w:val="28"/>
        </w:rPr>
        <w:t>тыс. руб. (сравнительная таблица).</w:t>
      </w:r>
    </w:p>
    <w:p w:rsidR="00125E57" w:rsidRPr="003061B5" w:rsidRDefault="00125E57" w:rsidP="004E67B5">
      <w:pPr>
        <w:ind w:firstLine="720"/>
        <w:jc w:val="both"/>
        <w:rPr>
          <w:sz w:val="28"/>
          <w:szCs w:val="28"/>
        </w:rPr>
      </w:pPr>
    </w:p>
    <w:p w:rsidR="00125E57" w:rsidRPr="003061B5" w:rsidRDefault="00125E57" w:rsidP="00DA2542">
      <w:pPr>
        <w:ind w:firstLine="900"/>
        <w:jc w:val="both"/>
        <w:rPr>
          <w:sz w:val="28"/>
          <w:szCs w:val="28"/>
        </w:rPr>
      </w:pPr>
      <w:r w:rsidRPr="003061B5">
        <w:rPr>
          <w:sz w:val="28"/>
          <w:szCs w:val="28"/>
        </w:rPr>
        <w:t xml:space="preserve">Расходная часть бюджета уменьшена на </w:t>
      </w:r>
      <w:r>
        <w:rPr>
          <w:sz w:val="28"/>
          <w:szCs w:val="28"/>
        </w:rPr>
        <w:t xml:space="preserve">12646,4 </w:t>
      </w:r>
      <w:r w:rsidRPr="003061B5">
        <w:rPr>
          <w:sz w:val="28"/>
          <w:szCs w:val="28"/>
        </w:rPr>
        <w:t>тыс. рублей за счет:</w:t>
      </w:r>
    </w:p>
    <w:p w:rsidR="00125E57" w:rsidRPr="003061B5" w:rsidRDefault="00125E57" w:rsidP="00DA2542">
      <w:pPr>
        <w:ind w:firstLine="900"/>
        <w:jc w:val="both"/>
        <w:rPr>
          <w:sz w:val="28"/>
          <w:szCs w:val="28"/>
        </w:rPr>
      </w:pPr>
      <w:r w:rsidRPr="003061B5">
        <w:rPr>
          <w:sz w:val="28"/>
          <w:szCs w:val="28"/>
        </w:rPr>
        <w:t xml:space="preserve">-  уменьшения объема финансовой помощи из бюджета Астраханской области на </w:t>
      </w:r>
      <w:r>
        <w:rPr>
          <w:sz w:val="28"/>
          <w:szCs w:val="28"/>
        </w:rPr>
        <w:t xml:space="preserve">22047,7 </w:t>
      </w:r>
      <w:r w:rsidRPr="003061B5">
        <w:rPr>
          <w:sz w:val="28"/>
          <w:szCs w:val="28"/>
        </w:rPr>
        <w:t xml:space="preserve"> тыс. руб.;</w:t>
      </w:r>
    </w:p>
    <w:p w:rsidR="00125E57" w:rsidRPr="003061B5" w:rsidRDefault="00125E57" w:rsidP="00DA2542">
      <w:pPr>
        <w:ind w:firstLine="900"/>
        <w:jc w:val="both"/>
        <w:rPr>
          <w:sz w:val="28"/>
          <w:szCs w:val="28"/>
        </w:rPr>
      </w:pPr>
      <w:r w:rsidRPr="003061B5">
        <w:rPr>
          <w:sz w:val="28"/>
          <w:szCs w:val="28"/>
        </w:rPr>
        <w:t>- увеличения объема межбюджетных трансфертов из бюджета МО «Камызякский район» на сумму  1253,5 тыс. руб.</w:t>
      </w:r>
    </w:p>
    <w:p w:rsidR="00125E57" w:rsidRPr="003061B5" w:rsidRDefault="00125E57" w:rsidP="002421F8">
      <w:pPr>
        <w:ind w:firstLine="900"/>
        <w:jc w:val="both"/>
        <w:rPr>
          <w:sz w:val="28"/>
          <w:szCs w:val="28"/>
        </w:rPr>
      </w:pPr>
      <w:r w:rsidRPr="003061B5">
        <w:rPr>
          <w:sz w:val="28"/>
          <w:szCs w:val="28"/>
        </w:rPr>
        <w:t>- увеличения бюджетных расходов за счет средств бюджета МО «Город Камызяк»  в соответствии с ожидаемым исполнением за финансовый год на 8147,7 тыс. руб.</w:t>
      </w:r>
    </w:p>
    <w:p w:rsidR="00125E57" w:rsidRPr="003061B5" w:rsidRDefault="00125E57" w:rsidP="00DA2542">
      <w:pPr>
        <w:ind w:firstLine="900"/>
        <w:jc w:val="both"/>
        <w:rPr>
          <w:sz w:val="28"/>
          <w:szCs w:val="28"/>
        </w:rPr>
      </w:pPr>
      <w:r w:rsidRPr="003061B5">
        <w:rPr>
          <w:sz w:val="28"/>
          <w:szCs w:val="28"/>
        </w:rPr>
        <w:t>В соответствии с фактическим исполнением уменьшены бюджетные назначения на содержание Совета МО «Город Камызяк» (37,8 т.р.).</w:t>
      </w:r>
    </w:p>
    <w:p w:rsidR="00125E57" w:rsidRPr="003061B5" w:rsidRDefault="00125E57" w:rsidP="00DA2542">
      <w:pPr>
        <w:ind w:firstLine="900"/>
        <w:jc w:val="both"/>
        <w:rPr>
          <w:sz w:val="28"/>
          <w:szCs w:val="28"/>
        </w:rPr>
      </w:pPr>
      <w:r w:rsidRPr="003061B5">
        <w:rPr>
          <w:sz w:val="28"/>
          <w:szCs w:val="28"/>
        </w:rPr>
        <w:t>В целях решения первоочередных задач и более эффективного использования бюджетных средств произведено уменьшение объема приоритетных муниципальных программ путем сокращения менее эффективных. Также в связи с бюджетной необеспеченностью приостановлена реализация мероприятий отдельных муниципальных программ, расходные обязательства по которым будут выполнены в 2016 году. В целом, объем муниципальных программ на 2015 год уменьшен  на 6017,0 тыс. руб. и составил  16712,1тыс. руб.</w:t>
      </w:r>
    </w:p>
    <w:p w:rsidR="00125E57" w:rsidRPr="003061B5" w:rsidRDefault="00125E57" w:rsidP="00DA2542">
      <w:pPr>
        <w:ind w:firstLine="900"/>
        <w:jc w:val="both"/>
        <w:rPr>
          <w:sz w:val="28"/>
          <w:szCs w:val="28"/>
        </w:rPr>
      </w:pPr>
      <w:r w:rsidRPr="003061B5">
        <w:rPr>
          <w:sz w:val="28"/>
          <w:szCs w:val="28"/>
        </w:rPr>
        <w:t>Объем муниципальных программ уменьшен в связи с погашением кредиторской задолженности 2014 года муниципальному образованию «Камызякский район» в сумме 10498,4 тыс. руб. (выполнение обязательств по переселению граждан из ветхого аварийного жилья, текущие расходы на содержание МКУ «Городок»), увеличением расходов на содержание МКУ «Городок» 3100,0 тыс. руб., выплатой расходов по исполнительному листу ООО «Астраханская рыбоконсервная компания».</w:t>
      </w:r>
    </w:p>
    <w:p w:rsidR="00125E57" w:rsidRPr="003061B5" w:rsidRDefault="00125E57" w:rsidP="003061B5">
      <w:pPr>
        <w:ind w:firstLine="900"/>
        <w:jc w:val="both"/>
        <w:rPr>
          <w:sz w:val="28"/>
          <w:szCs w:val="28"/>
        </w:rPr>
      </w:pPr>
      <w:r w:rsidRPr="003061B5">
        <w:rPr>
          <w:sz w:val="28"/>
          <w:szCs w:val="28"/>
        </w:rPr>
        <w:t>В ходе исполнения бюджета были произведены необходимые корректировки (передвижки) бюджетных назначений в бюджетной росписи в соответ</w:t>
      </w:r>
      <w:r>
        <w:rPr>
          <w:sz w:val="28"/>
          <w:szCs w:val="28"/>
        </w:rPr>
        <w:t>ствии с фактическим исполнением.</w:t>
      </w:r>
    </w:p>
    <w:sectPr w:rsidR="00125E57" w:rsidRPr="003061B5" w:rsidSect="00581CD9">
      <w:headerReference w:type="even" r:id="rId7"/>
      <w:headerReference w:type="default" r:id="rId8"/>
      <w:footerReference w:type="even" r:id="rId9"/>
      <w:footerReference w:type="default" r:id="rId10"/>
      <w:pgSz w:w="11906" w:h="16838"/>
      <w:pgMar w:top="284" w:right="851" w:bottom="567"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57" w:rsidRDefault="00125E57">
      <w:r>
        <w:separator/>
      </w:r>
    </w:p>
  </w:endnote>
  <w:endnote w:type="continuationSeparator" w:id="1">
    <w:p w:rsidR="00125E57" w:rsidRDefault="00125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Narrow">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57" w:rsidRDefault="00125E57" w:rsidP="00715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E57" w:rsidRDefault="00125E57" w:rsidP="004143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57" w:rsidRDefault="00125E57" w:rsidP="00EE394E">
    <w:pPr>
      <w:pStyle w:val="Footer"/>
      <w:framePr w:wrap="around" w:vAnchor="text" w:hAnchor="margin" w:xAlign="right" w:y="1"/>
      <w:rPr>
        <w:rStyle w:val="PageNumber"/>
      </w:rPr>
    </w:pPr>
  </w:p>
  <w:p w:rsidR="00125E57" w:rsidRDefault="00125E57" w:rsidP="004143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57" w:rsidRDefault="00125E57">
      <w:r>
        <w:separator/>
      </w:r>
    </w:p>
  </w:footnote>
  <w:footnote w:type="continuationSeparator" w:id="1">
    <w:p w:rsidR="00125E57" w:rsidRDefault="00125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57" w:rsidRDefault="00125E57" w:rsidP="003B31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E57" w:rsidRDefault="00125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57" w:rsidRDefault="00125E57">
    <w:pPr>
      <w:pStyle w:val="Header"/>
      <w:jc w:val="center"/>
    </w:pPr>
    <w:fldSimple w:instr="PAGE   \* MERGEFORMAT">
      <w:r>
        <w:rPr>
          <w:noProof/>
        </w:rPr>
        <w:t>2</w:t>
      </w:r>
    </w:fldSimple>
  </w:p>
  <w:p w:rsidR="00125E57" w:rsidRDefault="00125E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0E16AE"/>
    <w:lvl w:ilvl="0">
      <w:numFmt w:val="decimal"/>
      <w:lvlText w:val="*"/>
      <w:lvlJc w:val="left"/>
      <w:rPr>
        <w:rFonts w:cs="Times New Roman"/>
      </w:rPr>
    </w:lvl>
  </w:abstractNum>
  <w:abstractNum w:abstractNumId="1">
    <w:nsid w:val="00E32CB8"/>
    <w:multiLevelType w:val="hybridMultilevel"/>
    <w:tmpl w:val="6916FD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5B3C83"/>
    <w:multiLevelType w:val="hybridMultilevel"/>
    <w:tmpl w:val="75BAFA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1D498E"/>
    <w:multiLevelType w:val="hybridMultilevel"/>
    <w:tmpl w:val="18245D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210240"/>
    <w:multiLevelType w:val="hybridMultilevel"/>
    <w:tmpl w:val="952A01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1E310414"/>
    <w:multiLevelType w:val="hybridMultilevel"/>
    <w:tmpl w:val="52923A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EC36313"/>
    <w:multiLevelType w:val="hybridMultilevel"/>
    <w:tmpl w:val="8EC80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DB69D7"/>
    <w:multiLevelType w:val="hybridMultilevel"/>
    <w:tmpl w:val="54E40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EB5909"/>
    <w:multiLevelType w:val="hybridMultilevel"/>
    <w:tmpl w:val="05EC9A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F113ECB"/>
    <w:multiLevelType w:val="hybridMultilevel"/>
    <w:tmpl w:val="1818B324"/>
    <w:lvl w:ilvl="0" w:tplc="BEDCA3E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40F2A76"/>
    <w:multiLevelType w:val="hybridMultilevel"/>
    <w:tmpl w:val="61DA6126"/>
    <w:lvl w:ilvl="0" w:tplc="B56801C0">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11">
    <w:nsid w:val="5FF57311"/>
    <w:multiLevelType w:val="hybridMultilevel"/>
    <w:tmpl w:val="604CA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1A5B9E"/>
    <w:multiLevelType w:val="hybridMultilevel"/>
    <w:tmpl w:val="E9D8B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686E003F"/>
    <w:multiLevelType w:val="hybridMultilevel"/>
    <w:tmpl w:val="19180F6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nsid w:val="798C3EE3"/>
    <w:multiLevelType w:val="hybridMultilevel"/>
    <w:tmpl w:val="8F202D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lvl w:ilvl="0">
        <w:numFmt w:val="bullet"/>
        <w:lvlText w:val="-"/>
        <w:legacy w:legacy="1" w:legacySpace="0" w:legacyIndent="281"/>
        <w:lvlJc w:val="left"/>
        <w:rPr>
          <w:rFonts w:ascii="Times New Roman" w:hAnsi="Times New Roman" w:hint="default"/>
        </w:rPr>
      </w:lvl>
    </w:lvlOverride>
  </w:num>
  <w:num w:numId="2">
    <w:abstractNumId w:val="13"/>
  </w:num>
  <w:num w:numId="3">
    <w:abstractNumId w:val="6"/>
  </w:num>
  <w:num w:numId="4">
    <w:abstractNumId w:val="8"/>
  </w:num>
  <w:num w:numId="5">
    <w:abstractNumId w:val="11"/>
  </w:num>
  <w:num w:numId="6">
    <w:abstractNumId w:val="9"/>
  </w:num>
  <w:num w:numId="7">
    <w:abstractNumId w:val="12"/>
  </w:num>
  <w:num w:numId="8">
    <w:abstractNumId w:val="4"/>
  </w:num>
  <w:num w:numId="9">
    <w:abstractNumId w:val="1"/>
  </w:num>
  <w:num w:numId="10">
    <w:abstractNumId w:val="10"/>
  </w:num>
  <w:num w:numId="11">
    <w:abstractNumId w:val="5"/>
  </w:num>
  <w:num w:numId="12">
    <w:abstractNumId w:val="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8A"/>
    <w:rsid w:val="000010D3"/>
    <w:rsid w:val="0000251F"/>
    <w:rsid w:val="00002F83"/>
    <w:rsid w:val="00003122"/>
    <w:rsid w:val="000044A1"/>
    <w:rsid w:val="0000552A"/>
    <w:rsid w:val="000057BA"/>
    <w:rsid w:val="00007A0B"/>
    <w:rsid w:val="00010136"/>
    <w:rsid w:val="0001050A"/>
    <w:rsid w:val="00011F3C"/>
    <w:rsid w:val="00013690"/>
    <w:rsid w:val="000146E6"/>
    <w:rsid w:val="0001477F"/>
    <w:rsid w:val="00015441"/>
    <w:rsid w:val="000165CE"/>
    <w:rsid w:val="00016637"/>
    <w:rsid w:val="00016F85"/>
    <w:rsid w:val="000170CB"/>
    <w:rsid w:val="0002071D"/>
    <w:rsid w:val="00020EC4"/>
    <w:rsid w:val="0002188F"/>
    <w:rsid w:val="00021CB7"/>
    <w:rsid w:val="0002225B"/>
    <w:rsid w:val="00023E7F"/>
    <w:rsid w:val="0002414A"/>
    <w:rsid w:val="0002463F"/>
    <w:rsid w:val="00024909"/>
    <w:rsid w:val="000251E6"/>
    <w:rsid w:val="000252FE"/>
    <w:rsid w:val="0002581F"/>
    <w:rsid w:val="0003038E"/>
    <w:rsid w:val="0003065B"/>
    <w:rsid w:val="000308C8"/>
    <w:rsid w:val="00031581"/>
    <w:rsid w:val="00032AA0"/>
    <w:rsid w:val="00032D2B"/>
    <w:rsid w:val="00032D56"/>
    <w:rsid w:val="00033B19"/>
    <w:rsid w:val="00036A61"/>
    <w:rsid w:val="00037BBA"/>
    <w:rsid w:val="00040A99"/>
    <w:rsid w:val="00043983"/>
    <w:rsid w:val="00045742"/>
    <w:rsid w:val="0004593E"/>
    <w:rsid w:val="0004630A"/>
    <w:rsid w:val="000469F2"/>
    <w:rsid w:val="00047F4D"/>
    <w:rsid w:val="00050874"/>
    <w:rsid w:val="00050D04"/>
    <w:rsid w:val="00051B8C"/>
    <w:rsid w:val="00054F99"/>
    <w:rsid w:val="0005575E"/>
    <w:rsid w:val="00060271"/>
    <w:rsid w:val="00060545"/>
    <w:rsid w:val="0006054C"/>
    <w:rsid w:val="0006085D"/>
    <w:rsid w:val="00062715"/>
    <w:rsid w:val="00064DD8"/>
    <w:rsid w:val="00064F54"/>
    <w:rsid w:val="00066479"/>
    <w:rsid w:val="000666E9"/>
    <w:rsid w:val="00066900"/>
    <w:rsid w:val="00066956"/>
    <w:rsid w:val="00066B03"/>
    <w:rsid w:val="00067857"/>
    <w:rsid w:val="00067A57"/>
    <w:rsid w:val="000705C3"/>
    <w:rsid w:val="00070CD9"/>
    <w:rsid w:val="0007125C"/>
    <w:rsid w:val="0007138E"/>
    <w:rsid w:val="000738E9"/>
    <w:rsid w:val="000764C7"/>
    <w:rsid w:val="000765DE"/>
    <w:rsid w:val="0007697F"/>
    <w:rsid w:val="000769DB"/>
    <w:rsid w:val="0007759B"/>
    <w:rsid w:val="00080949"/>
    <w:rsid w:val="000809A6"/>
    <w:rsid w:val="000819F9"/>
    <w:rsid w:val="00083614"/>
    <w:rsid w:val="0008397C"/>
    <w:rsid w:val="00083C6D"/>
    <w:rsid w:val="000844B6"/>
    <w:rsid w:val="00084637"/>
    <w:rsid w:val="000857CC"/>
    <w:rsid w:val="00085811"/>
    <w:rsid w:val="00085A11"/>
    <w:rsid w:val="000869C4"/>
    <w:rsid w:val="00086D0E"/>
    <w:rsid w:val="000903F5"/>
    <w:rsid w:val="0009174F"/>
    <w:rsid w:val="00092712"/>
    <w:rsid w:val="00093F5D"/>
    <w:rsid w:val="0009471B"/>
    <w:rsid w:val="00094A1D"/>
    <w:rsid w:val="000953C5"/>
    <w:rsid w:val="000964AF"/>
    <w:rsid w:val="00096704"/>
    <w:rsid w:val="00096949"/>
    <w:rsid w:val="0009726F"/>
    <w:rsid w:val="000A2B88"/>
    <w:rsid w:val="000A3422"/>
    <w:rsid w:val="000A35C8"/>
    <w:rsid w:val="000A3E29"/>
    <w:rsid w:val="000A4559"/>
    <w:rsid w:val="000A45D1"/>
    <w:rsid w:val="000A759F"/>
    <w:rsid w:val="000A785F"/>
    <w:rsid w:val="000A7EC7"/>
    <w:rsid w:val="000B0360"/>
    <w:rsid w:val="000B1C82"/>
    <w:rsid w:val="000B25AC"/>
    <w:rsid w:val="000B2EE6"/>
    <w:rsid w:val="000B3F64"/>
    <w:rsid w:val="000B4060"/>
    <w:rsid w:val="000B579C"/>
    <w:rsid w:val="000B653B"/>
    <w:rsid w:val="000B66EC"/>
    <w:rsid w:val="000C01F6"/>
    <w:rsid w:val="000C1A10"/>
    <w:rsid w:val="000C260E"/>
    <w:rsid w:val="000C2C35"/>
    <w:rsid w:val="000C410C"/>
    <w:rsid w:val="000C41A7"/>
    <w:rsid w:val="000C4BE3"/>
    <w:rsid w:val="000C4EF8"/>
    <w:rsid w:val="000C503C"/>
    <w:rsid w:val="000C617A"/>
    <w:rsid w:val="000C6589"/>
    <w:rsid w:val="000C6C5D"/>
    <w:rsid w:val="000D0870"/>
    <w:rsid w:val="000D0951"/>
    <w:rsid w:val="000D2B81"/>
    <w:rsid w:val="000D38ED"/>
    <w:rsid w:val="000D3947"/>
    <w:rsid w:val="000D3D67"/>
    <w:rsid w:val="000D45D9"/>
    <w:rsid w:val="000D5B2F"/>
    <w:rsid w:val="000D6130"/>
    <w:rsid w:val="000D62D8"/>
    <w:rsid w:val="000D7406"/>
    <w:rsid w:val="000E0112"/>
    <w:rsid w:val="000E0A8A"/>
    <w:rsid w:val="000E0D7B"/>
    <w:rsid w:val="000E1509"/>
    <w:rsid w:val="000E203E"/>
    <w:rsid w:val="000E2A89"/>
    <w:rsid w:val="000E2E54"/>
    <w:rsid w:val="000E4185"/>
    <w:rsid w:val="000E7AD2"/>
    <w:rsid w:val="000F1657"/>
    <w:rsid w:val="000F1FF8"/>
    <w:rsid w:val="000F2224"/>
    <w:rsid w:val="000F35DC"/>
    <w:rsid w:val="000F486F"/>
    <w:rsid w:val="000F4ADA"/>
    <w:rsid w:val="000F5069"/>
    <w:rsid w:val="000F704E"/>
    <w:rsid w:val="000F7E3E"/>
    <w:rsid w:val="000F7EB0"/>
    <w:rsid w:val="000F7FF7"/>
    <w:rsid w:val="001001D8"/>
    <w:rsid w:val="00100966"/>
    <w:rsid w:val="001019BD"/>
    <w:rsid w:val="0010340C"/>
    <w:rsid w:val="00103A65"/>
    <w:rsid w:val="00103F75"/>
    <w:rsid w:val="0010534A"/>
    <w:rsid w:val="0010697F"/>
    <w:rsid w:val="00107129"/>
    <w:rsid w:val="001074C3"/>
    <w:rsid w:val="00107D48"/>
    <w:rsid w:val="0011014E"/>
    <w:rsid w:val="00110CB5"/>
    <w:rsid w:val="001133FE"/>
    <w:rsid w:val="00114F41"/>
    <w:rsid w:val="001153E8"/>
    <w:rsid w:val="00115DE0"/>
    <w:rsid w:val="001170A2"/>
    <w:rsid w:val="00117B4D"/>
    <w:rsid w:val="001207D7"/>
    <w:rsid w:val="00120D71"/>
    <w:rsid w:val="00121AF5"/>
    <w:rsid w:val="00122D6A"/>
    <w:rsid w:val="00125BCC"/>
    <w:rsid w:val="00125D0A"/>
    <w:rsid w:val="00125E57"/>
    <w:rsid w:val="00125F87"/>
    <w:rsid w:val="00126015"/>
    <w:rsid w:val="0012652A"/>
    <w:rsid w:val="00126568"/>
    <w:rsid w:val="001268BA"/>
    <w:rsid w:val="00126B5D"/>
    <w:rsid w:val="00126D04"/>
    <w:rsid w:val="00130001"/>
    <w:rsid w:val="00130313"/>
    <w:rsid w:val="0013094F"/>
    <w:rsid w:val="00131370"/>
    <w:rsid w:val="001327B8"/>
    <w:rsid w:val="00133CBF"/>
    <w:rsid w:val="00133CCB"/>
    <w:rsid w:val="001356B3"/>
    <w:rsid w:val="00135881"/>
    <w:rsid w:val="00135B94"/>
    <w:rsid w:val="0013624F"/>
    <w:rsid w:val="00136B5E"/>
    <w:rsid w:val="00136CEB"/>
    <w:rsid w:val="001372BB"/>
    <w:rsid w:val="00140330"/>
    <w:rsid w:val="00140CC1"/>
    <w:rsid w:val="0014160A"/>
    <w:rsid w:val="00141E19"/>
    <w:rsid w:val="00143F50"/>
    <w:rsid w:val="00144AEE"/>
    <w:rsid w:val="00146AEB"/>
    <w:rsid w:val="00146CAD"/>
    <w:rsid w:val="001501A6"/>
    <w:rsid w:val="001501DD"/>
    <w:rsid w:val="0015163E"/>
    <w:rsid w:val="00151B49"/>
    <w:rsid w:val="00152B11"/>
    <w:rsid w:val="00152C67"/>
    <w:rsid w:val="001539F9"/>
    <w:rsid w:val="00153DA3"/>
    <w:rsid w:val="0015451A"/>
    <w:rsid w:val="00154955"/>
    <w:rsid w:val="00154967"/>
    <w:rsid w:val="0015569E"/>
    <w:rsid w:val="00155769"/>
    <w:rsid w:val="00156732"/>
    <w:rsid w:val="00157D13"/>
    <w:rsid w:val="00157D14"/>
    <w:rsid w:val="00157E3A"/>
    <w:rsid w:val="00162DB1"/>
    <w:rsid w:val="00164F15"/>
    <w:rsid w:val="001650E4"/>
    <w:rsid w:val="00166D9C"/>
    <w:rsid w:val="001720F5"/>
    <w:rsid w:val="001728F5"/>
    <w:rsid w:val="00172CF4"/>
    <w:rsid w:val="0017345F"/>
    <w:rsid w:val="0017361F"/>
    <w:rsid w:val="001745A6"/>
    <w:rsid w:val="00175668"/>
    <w:rsid w:val="00175697"/>
    <w:rsid w:val="00176E2B"/>
    <w:rsid w:val="00177050"/>
    <w:rsid w:val="00180FB2"/>
    <w:rsid w:val="001814F1"/>
    <w:rsid w:val="00183724"/>
    <w:rsid w:val="00183ED1"/>
    <w:rsid w:val="00184EF2"/>
    <w:rsid w:val="001855BF"/>
    <w:rsid w:val="00185B33"/>
    <w:rsid w:val="00186049"/>
    <w:rsid w:val="00186196"/>
    <w:rsid w:val="00186BC7"/>
    <w:rsid w:val="0018734D"/>
    <w:rsid w:val="00187548"/>
    <w:rsid w:val="0019213C"/>
    <w:rsid w:val="00192685"/>
    <w:rsid w:val="00192E1D"/>
    <w:rsid w:val="0019411E"/>
    <w:rsid w:val="001942C4"/>
    <w:rsid w:val="00196DBB"/>
    <w:rsid w:val="0019740C"/>
    <w:rsid w:val="00197A84"/>
    <w:rsid w:val="001A005C"/>
    <w:rsid w:val="001A024C"/>
    <w:rsid w:val="001A03A7"/>
    <w:rsid w:val="001A265E"/>
    <w:rsid w:val="001A5BE7"/>
    <w:rsid w:val="001A7322"/>
    <w:rsid w:val="001B0777"/>
    <w:rsid w:val="001B085C"/>
    <w:rsid w:val="001B0A74"/>
    <w:rsid w:val="001B1C09"/>
    <w:rsid w:val="001B2410"/>
    <w:rsid w:val="001B253B"/>
    <w:rsid w:val="001B25BE"/>
    <w:rsid w:val="001B31E0"/>
    <w:rsid w:val="001C2401"/>
    <w:rsid w:val="001C2A1C"/>
    <w:rsid w:val="001C4521"/>
    <w:rsid w:val="001C6416"/>
    <w:rsid w:val="001C646E"/>
    <w:rsid w:val="001D0B20"/>
    <w:rsid w:val="001D0B9D"/>
    <w:rsid w:val="001D1388"/>
    <w:rsid w:val="001D1DE1"/>
    <w:rsid w:val="001D21B3"/>
    <w:rsid w:val="001D2C9A"/>
    <w:rsid w:val="001D3824"/>
    <w:rsid w:val="001D4B57"/>
    <w:rsid w:val="001D4FD8"/>
    <w:rsid w:val="001D5168"/>
    <w:rsid w:val="001D52E0"/>
    <w:rsid w:val="001D5707"/>
    <w:rsid w:val="001D6338"/>
    <w:rsid w:val="001D798E"/>
    <w:rsid w:val="001D7D94"/>
    <w:rsid w:val="001D7FEB"/>
    <w:rsid w:val="001E2927"/>
    <w:rsid w:val="001E3976"/>
    <w:rsid w:val="001E3A5B"/>
    <w:rsid w:val="001E52E7"/>
    <w:rsid w:val="001E60F5"/>
    <w:rsid w:val="001E6E00"/>
    <w:rsid w:val="001E7624"/>
    <w:rsid w:val="001F077F"/>
    <w:rsid w:val="001F09BE"/>
    <w:rsid w:val="001F18B5"/>
    <w:rsid w:val="001F32DF"/>
    <w:rsid w:val="001F455E"/>
    <w:rsid w:val="001F5BD6"/>
    <w:rsid w:val="001F60D6"/>
    <w:rsid w:val="001F61DF"/>
    <w:rsid w:val="001F6303"/>
    <w:rsid w:val="001F7D82"/>
    <w:rsid w:val="00200320"/>
    <w:rsid w:val="00202BC3"/>
    <w:rsid w:val="00202CD1"/>
    <w:rsid w:val="00203C16"/>
    <w:rsid w:val="002042A1"/>
    <w:rsid w:val="00204A69"/>
    <w:rsid w:val="0020517D"/>
    <w:rsid w:val="00205BB0"/>
    <w:rsid w:val="0021077A"/>
    <w:rsid w:val="00211B71"/>
    <w:rsid w:val="00211DE4"/>
    <w:rsid w:val="00212EA8"/>
    <w:rsid w:val="002135B0"/>
    <w:rsid w:val="00213A30"/>
    <w:rsid w:val="00214751"/>
    <w:rsid w:val="002155FE"/>
    <w:rsid w:val="00215D56"/>
    <w:rsid w:val="0021627C"/>
    <w:rsid w:val="00216B66"/>
    <w:rsid w:val="00220356"/>
    <w:rsid w:val="00220F24"/>
    <w:rsid w:val="00221118"/>
    <w:rsid w:val="0022227F"/>
    <w:rsid w:val="00223275"/>
    <w:rsid w:val="0022380C"/>
    <w:rsid w:val="00224AF6"/>
    <w:rsid w:val="002258D0"/>
    <w:rsid w:val="002270C9"/>
    <w:rsid w:val="0023045E"/>
    <w:rsid w:val="0023104C"/>
    <w:rsid w:val="00231B76"/>
    <w:rsid w:val="0023240D"/>
    <w:rsid w:val="00233123"/>
    <w:rsid w:val="002333FE"/>
    <w:rsid w:val="002334D4"/>
    <w:rsid w:val="002334E7"/>
    <w:rsid w:val="0023387E"/>
    <w:rsid w:val="00234590"/>
    <w:rsid w:val="00234DEE"/>
    <w:rsid w:val="002351F1"/>
    <w:rsid w:val="00235323"/>
    <w:rsid w:val="00235B86"/>
    <w:rsid w:val="00236233"/>
    <w:rsid w:val="00236CE4"/>
    <w:rsid w:val="002379C7"/>
    <w:rsid w:val="00240868"/>
    <w:rsid w:val="00241E18"/>
    <w:rsid w:val="002421F8"/>
    <w:rsid w:val="002426B0"/>
    <w:rsid w:val="00242960"/>
    <w:rsid w:val="002448BE"/>
    <w:rsid w:val="00245EB0"/>
    <w:rsid w:val="0024765E"/>
    <w:rsid w:val="00247F4F"/>
    <w:rsid w:val="0025066D"/>
    <w:rsid w:val="00250DB2"/>
    <w:rsid w:val="00251238"/>
    <w:rsid w:val="0025250F"/>
    <w:rsid w:val="00253359"/>
    <w:rsid w:val="00253FBD"/>
    <w:rsid w:val="00254AA3"/>
    <w:rsid w:val="00254F30"/>
    <w:rsid w:val="002557A8"/>
    <w:rsid w:val="00260BA1"/>
    <w:rsid w:val="00261515"/>
    <w:rsid w:val="00261B7F"/>
    <w:rsid w:val="00261BFB"/>
    <w:rsid w:val="002636E2"/>
    <w:rsid w:val="0026375B"/>
    <w:rsid w:val="00264AA9"/>
    <w:rsid w:val="00264B46"/>
    <w:rsid w:val="0026569A"/>
    <w:rsid w:val="00265B1F"/>
    <w:rsid w:val="00266AC6"/>
    <w:rsid w:val="0026710B"/>
    <w:rsid w:val="00267982"/>
    <w:rsid w:val="002702E6"/>
    <w:rsid w:val="00270C0B"/>
    <w:rsid w:val="00271B1D"/>
    <w:rsid w:val="0027330D"/>
    <w:rsid w:val="002739CD"/>
    <w:rsid w:val="00274BC8"/>
    <w:rsid w:val="002768D2"/>
    <w:rsid w:val="00276DDF"/>
    <w:rsid w:val="00276ED7"/>
    <w:rsid w:val="002801AD"/>
    <w:rsid w:val="00282572"/>
    <w:rsid w:val="002826C8"/>
    <w:rsid w:val="00282AA6"/>
    <w:rsid w:val="00283087"/>
    <w:rsid w:val="00283D4C"/>
    <w:rsid w:val="002842F6"/>
    <w:rsid w:val="002847B1"/>
    <w:rsid w:val="00284BC0"/>
    <w:rsid w:val="002861E1"/>
    <w:rsid w:val="00286320"/>
    <w:rsid w:val="00286429"/>
    <w:rsid w:val="00286BF1"/>
    <w:rsid w:val="00287348"/>
    <w:rsid w:val="00287514"/>
    <w:rsid w:val="0028798D"/>
    <w:rsid w:val="00290417"/>
    <w:rsid w:val="0029082F"/>
    <w:rsid w:val="00290CAC"/>
    <w:rsid w:val="002948F1"/>
    <w:rsid w:val="00295B82"/>
    <w:rsid w:val="00295C9D"/>
    <w:rsid w:val="00295F55"/>
    <w:rsid w:val="0029612F"/>
    <w:rsid w:val="002963BD"/>
    <w:rsid w:val="00296890"/>
    <w:rsid w:val="002A0289"/>
    <w:rsid w:val="002A0D42"/>
    <w:rsid w:val="002A2468"/>
    <w:rsid w:val="002A40DA"/>
    <w:rsid w:val="002A5284"/>
    <w:rsid w:val="002A5EA0"/>
    <w:rsid w:val="002A6AF7"/>
    <w:rsid w:val="002A713D"/>
    <w:rsid w:val="002A7807"/>
    <w:rsid w:val="002B13D4"/>
    <w:rsid w:val="002B14E2"/>
    <w:rsid w:val="002B3EF9"/>
    <w:rsid w:val="002B482C"/>
    <w:rsid w:val="002B6C9F"/>
    <w:rsid w:val="002B6D01"/>
    <w:rsid w:val="002B7740"/>
    <w:rsid w:val="002C02B2"/>
    <w:rsid w:val="002C048F"/>
    <w:rsid w:val="002C3587"/>
    <w:rsid w:val="002C3924"/>
    <w:rsid w:val="002C398F"/>
    <w:rsid w:val="002C4D3F"/>
    <w:rsid w:val="002C50EF"/>
    <w:rsid w:val="002C7F42"/>
    <w:rsid w:val="002D15E9"/>
    <w:rsid w:val="002D17D2"/>
    <w:rsid w:val="002D1A0B"/>
    <w:rsid w:val="002D1B37"/>
    <w:rsid w:val="002D3FB4"/>
    <w:rsid w:val="002D4491"/>
    <w:rsid w:val="002D5893"/>
    <w:rsid w:val="002D5DED"/>
    <w:rsid w:val="002D6985"/>
    <w:rsid w:val="002D74B2"/>
    <w:rsid w:val="002D7D36"/>
    <w:rsid w:val="002E0223"/>
    <w:rsid w:val="002E1091"/>
    <w:rsid w:val="002E10D5"/>
    <w:rsid w:val="002E1E5A"/>
    <w:rsid w:val="002E241A"/>
    <w:rsid w:val="002E24F7"/>
    <w:rsid w:val="002E33CE"/>
    <w:rsid w:val="002E42C6"/>
    <w:rsid w:val="002F0850"/>
    <w:rsid w:val="002F08C4"/>
    <w:rsid w:val="002F13DD"/>
    <w:rsid w:val="002F1994"/>
    <w:rsid w:val="002F2526"/>
    <w:rsid w:val="002F2786"/>
    <w:rsid w:val="002F2A03"/>
    <w:rsid w:val="002F3D83"/>
    <w:rsid w:val="002F3F5E"/>
    <w:rsid w:val="002F5361"/>
    <w:rsid w:val="002F7762"/>
    <w:rsid w:val="002F7E87"/>
    <w:rsid w:val="003008B5"/>
    <w:rsid w:val="0030097F"/>
    <w:rsid w:val="00301FAF"/>
    <w:rsid w:val="003061B5"/>
    <w:rsid w:val="003066EC"/>
    <w:rsid w:val="003076DC"/>
    <w:rsid w:val="003078DA"/>
    <w:rsid w:val="00307C0D"/>
    <w:rsid w:val="00307CE7"/>
    <w:rsid w:val="00307E0A"/>
    <w:rsid w:val="00313A36"/>
    <w:rsid w:val="00314767"/>
    <w:rsid w:val="003160E5"/>
    <w:rsid w:val="0031755D"/>
    <w:rsid w:val="003203FF"/>
    <w:rsid w:val="00321B87"/>
    <w:rsid w:val="00321F21"/>
    <w:rsid w:val="00322B1D"/>
    <w:rsid w:val="0032353B"/>
    <w:rsid w:val="00324352"/>
    <w:rsid w:val="00324F06"/>
    <w:rsid w:val="00324FF5"/>
    <w:rsid w:val="0032659F"/>
    <w:rsid w:val="003273A9"/>
    <w:rsid w:val="00327E64"/>
    <w:rsid w:val="00331AFA"/>
    <w:rsid w:val="00331D0D"/>
    <w:rsid w:val="00333B25"/>
    <w:rsid w:val="00334C15"/>
    <w:rsid w:val="003352CE"/>
    <w:rsid w:val="003354CA"/>
    <w:rsid w:val="00336216"/>
    <w:rsid w:val="00336BBC"/>
    <w:rsid w:val="00337A33"/>
    <w:rsid w:val="00337C3A"/>
    <w:rsid w:val="00341750"/>
    <w:rsid w:val="0034177A"/>
    <w:rsid w:val="00343706"/>
    <w:rsid w:val="0034432D"/>
    <w:rsid w:val="00344CD9"/>
    <w:rsid w:val="0034501D"/>
    <w:rsid w:val="003455DB"/>
    <w:rsid w:val="003465BC"/>
    <w:rsid w:val="003470F6"/>
    <w:rsid w:val="003473B8"/>
    <w:rsid w:val="003503C7"/>
    <w:rsid w:val="003504EF"/>
    <w:rsid w:val="00351269"/>
    <w:rsid w:val="0035251B"/>
    <w:rsid w:val="003527D7"/>
    <w:rsid w:val="00352CAB"/>
    <w:rsid w:val="00355FA5"/>
    <w:rsid w:val="00356410"/>
    <w:rsid w:val="003566FF"/>
    <w:rsid w:val="00356EE2"/>
    <w:rsid w:val="00357D74"/>
    <w:rsid w:val="0036040C"/>
    <w:rsid w:val="00361A50"/>
    <w:rsid w:val="003622B8"/>
    <w:rsid w:val="0036232A"/>
    <w:rsid w:val="003628E2"/>
    <w:rsid w:val="00362D62"/>
    <w:rsid w:val="003649C0"/>
    <w:rsid w:val="00365082"/>
    <w:rsid w:val="00365906"/>
    <w:rsid w:val="0036689F"/>
    <w:rsid w:val="00367622"/>
    <w:rsid w:val="00367D68"/>
    <w:rsid w:val="003705A7"/>
    <w:rsid w:val="003706F1"/>
    <w:rsid w:val="00371E45"/>
    <w:rsid w:val="00372622"/>
    <w:rsid w:val="00376134"/>
    <w:rsid w:val="00376399"/>
    <w:rsid w:val="003765E3"/>
    <w:rsid w:val="00376BEF"/>
    <w:rsid w:val="00376E6B"/>
    <w:rsid w:val="003800A4"/>
    <w:rsid w:val="00380F1F"/>
    <w:rsid w:val="00381469"/>
    <w:rsid w:val="00382874"/>
    <w:rsid w:val="0038290D"/>
    <w:rsid w:val="0038337D"/>
    <w:rsid w:val="0038409D"/>
    <w:rsid w:val="00386F35"/>
    <w:rsid w:val="0038776F"/>
    <w:rsid w:val="00387CDD"/>
    <w:rsid w:val="00391B4E"/>
    <w:rsid w:val="00392B97"/>
    <w:rsid w:val="00394AE3"/>
    <w:rsid w:val="00395530"/>
    <w:rsid w:val="003969F5"/>
    <w:rsid w:val="00397FF1"/>
    <w:rsid w:val="003A1A36"/>
    <w:rsid w:val="003A249E"/>
    <w:rsid w:val="003A2522"/>
    <w:rsid w:val="003A397D"/>
    <w:rsid w:val="003A409F"/>
    <w:rsid w:val="003A5063"/>
    <w:rsid w:val="003A50F6"/>
    <w:rsid w:val="003A572E"/>
    <w:rsid w:val="003A5F70"/>
    <w:rsid w:val="003A7B16"/>
    <w:rsid w:val="003A7BB2"/>
    <w:rsid w:val="003B1861"/>
    <w:rsid w:val="003B3157"/>
    <w:rsid w:val="003B3B0F"/>
    <w:rsid w:val="003B40DC"/>
    <w:rsid w:val="003B480F"/>
    <w:rsid w:val="003B523A"/>
    <w:rsid w:val="003B56E8"/>
    <w:rsid w:val="003B5FD7"/>
    <w:rsid w:val="003B6AF8"/>
    <w:rsid w:val="003C0925"/>
    <w:rsid w:val="003C095E"/>
    <w:rsid w:val="003C2205"/>
    <w:rsid w:val="003C2666"/>
    <w:rsid w:val="003C2B16"/>
    <w:rsid w:val="003C2C00"/>
    <w:rsid w:val="003C31B2"/>
    <w:rsid w:val="003C397C"/>
    <w:rsid w:val="003C3FA0"/>
    <w:rsid w:val="003C5F08"/>
    <w:rsid w:val="003C625E"/>
    <w:rsid w:val="003D07D8"/>
    <w:rsid w:val="003D1284"/>
    <w:rsid w:val="003D2956"/>
    <w:rsid w:val="003D2C0F"/>
    <w:rsid w:val="003D2CC3"/>
    <w:rsid w:val="003D2F9C"/>
    <w:rsid w:val="003D4295"/>
    <w:rsid w:val="003D5C52"/>
    <w:rsid w:val="003D69DF"/>
    <w:rsid w:val="003E0066"/>
    <w:rsid w:val="003E1910"/>
    <w:rsid w:val="003E1D73"/>
    <w:rsid w:val="003E2EDE"/>
    <w:rsid w:val="003E3445"/>
    <w:rsid w:val="003E474D"/>
    <w:rsid w:val="003E5281"/>
    <w:rsid w:val="003E53AD"/>
    <w:rsid w:val="003E5BC2"/>
    <w:rsid w:val="003E646E"/>
    <w:rsid w:val="003F048C"/>
    <w:rsid w:val="003F0C87"/>
    <w:rsid w:val="003F0C96"/>
    <w:rsid w:val="003F18EC"/>
    <w:rsid w:val="003F1D98"/>
    <w:rsid w:val="003F26AF"/>
    <w:rsid w:val="003F27FB"/>
    <w:rsid w:val="003F2F4D"/>
    <w:rsid w:val="003F3AE0"/>
    <w:rsid w:val="003F4428"/>
    <w:rsid w:val="003F48F9"/>
    <w:rsid w:val="003F5350"/>
    <w:rsid w:val="003F58B8"/>
    <w:rsid w:val="003F6080"/>
    <w:rsid w:val="003F6A9D"/>
    <w:rsid w:val="003F76DF"/>
    <w:rsid w:val="004006E2"/>
    <w:rsid w:val="00401252"/>
    <w:rsid w:val="00401603"/>
    <w:rsid w:val="00402F08"/>
    <w:rsid w:val="0040327B"/>
    <w:rsid w:val="004043F9"/>
    <w:rsid w:val="00405E57"/>
    <w:rsid w:val="0040643A"/>
    <w:rsid w:val="0040666A"/>
    <w:rsid w:val="00407EE9"/>
    <w:rsid w:val="004102F6"/>
    <w:rsid w:val="00411931"/>
    <w:rsid w:val="00411A08"/>
    <w:rsid w:val="00411FCA"/>
    <w:rsid w:val="00413861"/>
    <w:rsid w:val="00414211"/>
    <w:rsid w:val="00414223"/>
    <w:rsid w:val="00414335"/>
    <w:rsid w:val="00414510"/>
    <w:rsid w:val="0041496A"/>
    <w:rsid w:val="004152AE"/>
    <w:rsid w:val="00415B44"/>
    <w:rsid w:val="00416EEF"/>
    <w:rsid w:val="00417294"/>
    <w:rsid w:val="004176FA"/>
    <w:rsid w:val="0041775D"/>
    <w:rsid w:val="004210E6"/>
    <w:rsid w:val="00425E0F"/>
    <w:rsid w:val="00426917"/>
    <w:rsid w:val="00426C6F"/>
    <w:rsid w:val="004311D5"/>
    <w:rsid w:val="0043155E"/>
    <w:rsid w:val="004316BA"/>
    <w:rsid w:val="00432605"/>
    <w:rsid w:val="00432EB2"/>
    <w:rsid w:val="0043325A"/>
    <w:rsid w:val="00433FFD"/>
    <w:rsid w:val="0043634D"/>
    <w:rsid w:val="00436D06"/>
    <w:rsid w:val="00436E7B"/>
    <w:rsid w:val="00440043"/>
    <w:rsid w:val="004400E0"/>
    <w:rsid w:val="00440447"/>
    <w:rsid w:val="004408B1"/>
    <w:rsid w:val="00440C5A"/>
    <w:rsid w:val="0044154E"/>
    <w:rsid w:val="0044196B"/>
    <w:rsid w:val="00443033"/>
    <w:rsid w:val="0044516A"/>
    <w:rsid w:val="0044572C"/>
    <w:rsid w:val="004467D1"/>
    <w:rsid w:val="00447334"/>
    <w:rsid w:val="0044751E"/>
    <w:rsid w:val="00451FBD"/>
    <w:rsid w:val="00453112"/>
    <w:rsid w:val="00453B05"/>
    <w:rsid w:val="00455CAB"/>
    <w:rsid w:val="00455DBB"/>
    <w:rsid w:val="004562F6"/>
    <w:rsid w:val="0046014E"/>
    <w:rsid w:val="00460E8E"/>
    <w:rsid w:val="00461C70"/>
    <w:rsid w:val="004622F9"/>
    <w:rsid w:val="00462A7D"/>
    <w:rsid w:val="004638B4"/>
    <w:rsid w:val="004644D5"/>
    <w:rsid w:val="004645B6"/>
    <w:rsid w:val="0046569A"/>
    <w:rsid w:val="00465F4F"/>
    <w:rsid w:val="00467516"/>
    <w:rsid w:val="004676B9"/>
    <w:rsid w:val="00471FD4"/>
    <w:rsid w:val="00472F01"/>
    <w:rsid w:val="00473660"/>
    <w:rsid w:val="00474198"/>
    <w:rsid w:val="004741E8"/>
    <w:rsid w:val="00474274"/>
    <w:rsid w:val="00474B0A"/>
    <w:rsid w:val="0047690C"/>
    <w:rsid w:val="00476CB7"/>
    <w:rsid w:val="004776A6"/>
    <w:rsid w:val="004802DE"/>
    <w:rsid w:val="00480F80"/>
    <w:rsid w:val="00481E7A"/>
    <w:rsid w:val="00483618"/>
    <w:rsid w:val="00485BEA"/>
    <w:rsid w:val="0048636B"/>
    <w:rsid w:val="00491BDD"/>
    <w:rsid w:val="00492CA2"/>
    <w:rsid w:val="00493423"/>
    <w:rsid w:val="0049627E"/>
    <w:rsid w:val="00496C93"/>
    <w:rsid w:val="00497452"/>
    <w:rsid w:val="00497911"/>
    <w:rsid w:val="004A0B07"/>
    <w:rsid w:val="004A0F69"/>
    <w:rsid w:val="004A18AF"/>
    <w:rsid w:val="004A2D98"/>
    <w:rsid w:val="004A2DE0"/>
    <w:rsid w:val="004A322E"/>
    <w:rsid w:val="004A361E"/>
    <w:rsid w:val="004A3900"/>
    <w:rsid w:val="004A47D5"/>
    <w:rsid w:val="004A5329"/>
    <w:rsid w:val="004A6ACB"/>
    <w:rsid w:val="004A71E7"/>
    <w:rsid w:val="004B006C"/>
    <w:rsid w:val="004B0125"/>
    <w:rsid w:val="004B168B"/>
    <w:rsid w:val="004B1D5F"/>
    <w:rsid w:val="004B1FD2"/>
    <w:rsid w:val="004B5689"/>
    <w:rsid w:val="004B57BB"/>
    <w:rsid w:val="004B59F1"/>
    <w:rsid w:val="004B5D16"/>
    <w:rsid w:val="004B5FCE"/>
    <w:rsid w:val="004B6021"/>
    <w:rsid w:val="004B6062"/>
    <w:rsid w:val="004B61B9"/>
    <w:rsid w:val="004B6973"/>
    <w:rsid w:val="004B6ED5"/>
    <w:rsid w:val="004B7613"/>
    <w:rsid w:val="004B7B68"/>
    <w:rsid w:val="004C0582"/>
    <w:rsid w:val="004C1157"/>
    <w:rsid w:val="004C11CB"/>
    <w:rsid w:val="004C1FE6"/>
    <w:rsid w:val="004C32BB"/>
    <w:rsid w:val="004C33A7"/>
    <w:rsid w:val="004C453F"/>
    <w:rsid w:val="004C456D"/>
    <w:rsid w:val="004C482C"/>
    <w:rsid w:val="004C4A89"/>
    <w:rsid w:val="004C6F37"/>
    <w:rsid w:val="004D02AD"/>
    <w:rsid w:val="004D29BD"/>
    <w:rsid w:val="004D2F0D"/>
    <w:rsid w:val="004D318A"/>
    <w:rsid w:val="004D416F"/>
    <w:rsid w:val="004E262C"/>
    <w:rsid w:val="004E3E00"/>
    <w:rsid w:val="004E4447"/>
    <w:rsid w:val="004E54B3"/>
    <w:rsid w:val="004E63B0"/>
    <w:rsid w:val="004E67B5"/>
    <w:rsid w:val="004E6CA5"/>
    <w:rsid w:val="004E7677"/>
    <w:rsid w:val="004F1D72"/>
    <w:rsid w:val="004F21E4"/>
    <w:rsid w:val="004F2F15"/>
    <w:rsid w:val="004F394E"/>
    <w:rsid w:val="004F4D62"/>
    <w:rsid w:val="004F59A4"/>
    <w:rsid w:val="004F6013"/>
    <w:rsid w:val="004F66A9"/>
    <w:rsid w:val="004F6781"/>
    <w:rsid w:val="004F76B4"/>
    <w:rsid w:val="004F787C"/>
    <w:rsid w:val="005009BF"/>
    <w:rsid w:val="00500D33"/>
    <w:rsid w:val="0050178E"/>
    <w:rsid w:val="00501B4B"/>
    <w:rsid w:val="00502B2E"/>
    <w:rsid w:val="00502FF1"/>
    <w:rsid w:val="005031A5"/>
    <w:rsid w:val="00503CAA"/>
    <w:rsid w:val="00504FE6"/>
    <w:rsid w:val="00505FD6"/>
    <w:rsid w:val="00506665"/>
    <w:rsid w:val="00506AB6"/>
    <w:rsid w:val="00506C79"/>
    <w:rsid w:val="00507B23"/>
    <w:rsid w:val="00507EDC"/>
    <w:rsid w:val="00510234"/>
    <w:rsid w:val="00510295"/>
    <w:rsid w:val="005106D5"/>
    <w:rsid w:val="005113C8"/>
    <w:rsid w:val="00512953"/>
    <w:rsid w:val="00513E1F"/>
    <w:rsid w:val="00514598"/>
    <w:rsid w:val="00514BAC"/>
    <w:rsid w:val="00515D0F"/>
    <w:rsid w:val="00515F08"/>
    <w:rsid w:val="0051617B"/>
    <w:rsid w:val="005164B2"/>
    <w:rsid w:val="00516746"/>
    <w:rsid w:val="005167DA"/>
    <w:rsid w:val="00517223"/>
    <w:rsid w:val="005178FB"/>
    <w:rsid w:val="005206E4"/>
    <w:rsid w:val="0052089A"/>
    <w:rsid w:val="00521A00"/>
    <w:rsid w:val="00522242"/>
    <w:rsid w:val="005226D7"/>
    <w:rsid w:val="00522C6C"/>
    <w:rsid w:val="0052348E"/>
    <w:rsid w:val="0052371A"/>
    <w:rsid w:val="00523A9B"/>
    <w:rsid w:val="00523E50"/>
    <w:rsid w:val="00525087"/>
    <w:rsid w:val="00526A10"/>
    <w:rsid w:val="00526FBE"/>
    <w:rsid w:val="005276FE"/>
    <w:rsid w:val="00531ABC"/>
    <w:rsid w:val="00531D0F"/>
    <w:rsid w:val="00532CD5"/>
    <w:rsid w:val="00534534"/>
    <w:rsid w:val="00534560"/>
    <w:rsid w:val="00535004"/>
    <w:rsid w:val="0053529E"/>
    <w:rsid w:val="00542FA2"/>
    <w:rsid w:val="005434D2"/>
    <w:rsid w:val="00544F0B"/>
    <w:rsid w:val="00545DAC"/>
    <w:rsid w:val="00546778"/>
    <w:rsid w:val="00546D62"/>
    <w:rsid w:val="0054773A"/>
    <w:rsid w:val="00550444"/>
    <w:rsid w:val="00552D05"/>
    <w:rsid w:val="00552D06"/>
    <w:rsid w:val="00552E96"/>
    <w:rsid w:val="0055307B"/>
    <w:rsid w:val="00554B54"/>
    <w:rsid w:val="00555122"/>
    <w:rsid w:val="005554B7"/>
    <w:rsid w:val="0055570D"/>
    <w:rsid w:val="00556E3D"/>
    <w:rsid w:val="005602C3"/>
    <w:rsid w:val="00560EEC"/>
    <w:rsid w:val="00562A95"/>
    <w:rsid w:val="00563EA0"/>
    <w:rsid w:val="0056414F"/>
    <w:rsid w:val="005642B5"/>
    <w:rsid w:val="00565632"/>
    <w:rsid w:val="00566581"/>
    <w:rsid w:val="00566828"/>
    <w:rsid w:val="00566E3D"/>
    <w:rsid w:val="005678E6"/>
    <w:rsid w:val="00567AA6"/>
    <w:rsid w:val="00570783"/>
    <w:rsid w:val="00570D69"/>
    <w:rsid w:val="00571F24"/>
    <w:rsid w:val="00573CC1"/>
    <w:rsid w:val="00573CD8"/>
    <w:rsid w:val="0057458B"/>
    <w:rsid w:val="00574A87"/>
    <w:rsid w:val="0057649E"/>
    <w:rsid w:val="005767E9"/>
    <w:rsid w:val="00580145"/>
    <w:rsid w:val="005808DA"/>
    <w:rsid w:val="005817BD"/>
    <w:rsid w:val="0058187B"/>
    <w:rsid w:val="00581CD9"/>
    <w:rsid w:val="00582086"/>
    <w:rsid w:val="00583660"/>
    <w:rsid w:val="00583B85"/>
    <w:rsid w:val="00583F1D"/>
    <w:rsid w:val="005851AB"/>
    <w:rsid w:val="0058597F"/>
    <w:rsid w:val="00585FBA"/>
    <w:rsid w:val="005869CA"/>
    <w:rsid w:val="00586B41"/>
    <w:rsid w:val="0059105F"/>
    <w:rsid w:val="00593043"/>
    <w:rsid w:val="0059436A"/>
    <w:rsid w:val="00595C2B"/>
    <w:rsid w:val="00596C33"/>
    <w:rsid w:val="0059775E"/>
    <w:rsid w:val="005A03EA"/>
    <w:rsid w:val="005A18E1"/>
    <w:rsid w:val="005A1A3C"/>
    <w:rsid w:val="005A25CD"/>
    <w:rsid w:val="005A4A9B"/>
    <w:rsid w:val="005A528B"/>
    <w:rsid w:val="005A54F3"/>
    <w:rsid w:val="005A61AD"/>
    <w:rsid w:val="005A6DDD"/>
    <w:rsid w:val="005B2DD3"/>
    <w:rsid w:val="005B3E29"/>
    <w:rsid w:val="005B3FB5"/>
    <w:rsid w:val="005B4264"/>
    <w:rsid w:val="005B4658"/>
    <w:rsid w:val="005B634F"/>
    <w:rsid w:val="005B68B9"/>
    <w:rsid w:val="005B7224"/>
    <w:rsid w:val="005B7BF1"/>
    <w:rsid w:val="005C15CC"/>
    <w:rsid w:val="005C20F0"/>
    <w:rsid w:val="005C2741"/>
    <w:rsid w:val="005C27F4"/>
    <w:rsid w:val="005C3FB4"/>
    <w:rsid w:val="005C4A43"/>
    <w:rsid w:val="005C4C19"/>
    <w:rsid w:val="005C52A0"/>
    <w:rsid w:val="005C53F3"/>
    <w:rsid w:val="005C683F"/>
    <w:rsid w:val="005C744F"/>
    <w:rsid w:val="005C7528"/>
    <w:rsid w:val="005D0664"/>
    <w:rsid w:val="005D17B0"/>
    <w:rsid w:val="005D1DE1"/>
    <w:rsid w:val="005D3BDF"/>
    <w:rsid w:val="005D3EF7"/>
    <w:rsid w:val="005D41C6"/>
    <w:rsid w:val="005D429E"/>
    <w:rsid w:val="005D4DFD"/>
    <w:rsid w:val="005D5061"/>
    <w:rsid w:val="005D6027"/>
    <w:rsid w:val="005D792C"/>
    <w:rsid w:val="005E0812"/>
    <w:rsid w:val="005E2B8B"/>
    <w:rsid w:val="005E307F"/>
    <w:rsid w:val="005E4CF3"/>
    <w:rsid w:val="005E50A7"/>
    <w:rsid w:val="005E64C6"/>
    <w:rsid w:val="005E6E98"/>
    <w:rsid w:val="005E786F"/>
    <w:rsid w:val="005E79EB"/>
    <w:rsid w:val="005E7A73"/>
    <w:rsid w:val="005F00C8"/>
    <w:rsid w:val="005F07EC"/>
    <w:rsid w:val="005F1A99"/>
    <w:rsid w:val="005F1BAF"/>
    <w:rsid w:val="005F253B"/>
    <w:rsid w:val="005F3A1C"/>
    <w:rsid w:val="005F4925"/>
    <w:rsid w:val="005F4EEC"/>
    <w:rsid w:val="005F55C7"/>
    <w:rsid w:val="0060032F"/>
    <w:rsid w:val="00600854"/>
    <w:rsid w:val="00600EB2"/>
    <w:rsid w:val="00600F4C"/>
    <w:rsid w:val="006035AA"/>
    <w:rsid w:val="00603D77"/>
    <w:rsid w:val="006058CB"/>
    <w:rsid w:val="00607FE6"/>
    <w:rsid w:val="006105E7"/>
    <w:rsid w:val="006110AF"/>
    <w:rsid w:val="00611118"/>
    <w:rsid w:val="00611708"/>
    <w:rsid w:val="00612686"/>
    <w:rsid w:val="00613868"/>
    <w:rsid w:val="00613936"/>
    <w:rsid w:val="00613F54"/>
    <w:rsid w:val="00615764"/>
    <w:rsid w:val="00616529"/>
    <w:rsid w:val="00617814"/>
    <w:rsid w:val="00620040"/>
    <w:rsid w:val="006207D8"/>
    <w:rsid w:val="00620D6A"/>
    <w:rsid w:val="00621079"/>
    <w:rsid w:val="006220C8"/>
    <w:rsid w:val="00622882"/>
    <w:rsid w:val="00623422"/>
    <w:rsid w:val="00624963"/>
    <w:rsid w:val="00624AB1"/>
    <w:rsid w:val="006303EE"/>
    <w:rsid w:val="006304ED"/>
    <w:rsid w:val="00630661"/>
    <w:rsid w:val="00632780"/>
    <w:rsid w:val="00633894"/>
    <w:rsid w:val="00635A01"/>
    <w:rsid w:val="00635D96"/>
    <w:rsid w:val="0063639D"/>
    <w:rsid w:val="00640481"/>
    <w:rsid w:val="00640FF5"/>
    <w:rsid w:val="00641739"/>
    <w:rsid w:val="006436D6"/>
    <w:rsid w:val="00643E88"/>
    <w:rsid w:val="0064490B"/>
    <w:rsid w:val="00644E96"/>
    <w:rsid w:val="006462BF"/>
    <w:rsid w:val="006466F7"/>
    <w:rsid w:val="00647594"/>
    <w:rsid w:val="00647EFC"/>
    <w:rsid w:val="00651D4A"/>
    <w:rsid w:val="0065222E"/>
    <w:rsid w:val="00652676"/>
    <w:rsid w:val="00652879"/>
    <w:rsid w:val="006530E7"/>
    <w:rsid w:val="0065320E"/>
    <w:rsid w:val="00653536"/>
    <w:rsid w:val="0065423F"/>
    <w:rsid w:val="00654679"/>
    <w:rsid w:val="00656F52"/>
    <w:rsid w:val="00657701"/>
    <w:rsid w:val="00661873"/>
    <w:rsid w:val="00661A82"/>
    <w:rsid w:val="00661C1D"/>
    <w:rsid w:val="00662D9D"/>
    <w:rsid w:val="00663FC2"/>
    <w:rsid w:val="00664630"/>
    <w:rsid w:val="006646AF"/>
    <w:rsid w:val="00665C95"/>
    <w:rsid w:val="006662A9"/>
    <w:rsid w:val="00666B2A"/>
    <w:rsid w:val="006675F1"/>
    <w:rsid w:val="006707E6"/>
    <w:rsid w:val="00670972"/>
    <w:rsid w:val="0067186D"/>
    <w:rsid w:val="00672371"/>
    <w:rsid w:val="006728D2"/>
    <w:rsid w:val="00673057"/>
    <w:rsid w:val="006750D5"/>
    <w:rsid w:val="00675752"/>
    <w:rsid w:val="00675D75"/>
    <w:rsid w:val="00676AA0"/>
    <w:rsid w:val="00681289"/>
    <w:rsid w:val="006816DC"/>
    <w:rsid w:val="00681E8E"/>
    <w:rsid w:val="00682F39"/>
    <w:rsid w:val="0068358E"/>
    <w:rsid w:val="00684053"/>
    <w:rsid w:val="006841C0"/>
    <w:rsid w:val="006842E2"/>
    <w:rsid w:val="00684D76"/>
    <w:rsid w:val="006861EF"/>
    <w:rsid w:val="0068714C"/>
    <w:rsid w:val="00687D6B"/>
    <w:rsid w:val="00690A22"/>
    <w:rsid w:val="00691CB5"/>
    <w:rsid w:val="0069217D"/>
    <w:rsid w:val="00692447"/>
    <w:rsid w:val="00692E3E"/>
    <w:rsid w:val="00692FA3"/>
    <w:rsid w:val="0069347E"/>
    <w:rsid w:val="00693621"/>
    <w:rsid w:val="006937BE"/>
    <w:rsid w:val="00694166"/>
    <w:rsid w:val="0069435B"/>
    <w:rsid w:val="006953CE"/>
    <w:rsid w:val="00695552"/>
    <w:rsid w:val="00695988"/>
    <w:rsid w:val="00695EE8"/>
    <w:rsid w:val="00695FC9"/>
    <w:rsid w:val="00696C77"/>
    <w:rsid w:val="00697A33"/>
    <w:rsid w:val="006A0D5A"/>
    <w:rsid w:val="006A11C8"/>
    <w:rsid w:val="006A1E0A"/>
    <w:rsid w:val="006A37E4"/>
    <w:rsid w:val="006A3CF3"/>
    <w:rsid w:val="006A437F"/>
    <w:rsid w:val="006A48AC"/>
    <w:rsid w:val="006A65C6"/>
    <w:rsid w:val="006A7D8D"/>
    <w:rsid w:val="006B12B2"/>
    <w:rsid w:val="006B30E3"/>
    <w:rsid w:val="006B3E88"/>
    <w:rsid w:val="006B42BA"/>
    <w:rsid w:val="006B47F8"/>
    <w:rsid w:val="006B5BC1"/>
    <w:rsid w:val="006B5CC7"/>
    <w:rsid w:val="006B6119"/>
    <w:rsid w:val="006B69FE"/>
    <w:rsid w:val="006B7621"/>
    <w:rsid w:val="006B7ADA"/>
    <w:rsid w:val="006C0B34"/>
    <w:rsid w:val="006C173F"/>
    <w:rsid w:val="006C2B47"/>
    <w:rsid w:val="006C339F"/>
    <w:rsid w:val="006C361F"/>
    <w:rsid w:val="006C595B"/>
    <w:rsid w:val="006C5BA4"/>
    <w:rsid w:val="006C62BE"/>
    <w:rsid w:val="006C7158"/>
    <w:rsid w:val="006C7533"/>
    <w:rsid w:val="006D0728"/>
    <w:rsid w:val="006D0E03"/>
    <w:rsid w:val="006D0E41"/>
    <w:rsid w:val="006D1C8A"/>
    <w:rsid w:val="006D2206"/>
    <w:rsid w:val="006D2ADA"/>
    <w:rsid w:val="006D44EF"/>
    <w:rsid w:val="006E104F"/>
    <w:rsid w:val="006E10B8"/>
    <w:rsid w:val="006E2769"/>
    <w:rsid w:val="006E2A0A"/>
    <w:rsid w:val="006E2E8E"/>
    <w:rsid w:val="006E30CA"/>
    <w:rsid w:val="006E564E"/>
    <w:rsid w:val="006E60B4"/>
    <w:rsid w:val="006E6437"/>
    <w:rsid w:val="006E6CDE"/>
    <w:rsid w:val="006E6D8D"/>
    <w:rsid w:val="006E6EA5"/>
    <w:rsid w:val="006F00F3"/>
    <w:rsid w:val="006F03FB"/>
    <w:rsid w:val="006F1E72"/>
    <w:rsid w:val="006F2D81"/>
    <w:rsid w:val="006F3BD7"/>
    <w:rsid w:val="006F3C12"/>
    <w:rsid w:val="006F4069"/>
    <w:rsid w:val="006F42EB"/>
    <w:rsid w:val="006F60CE"/>
    <w:rsid w:val="006F6C7D"/>
    <w:rsid w:val="0070019A"/>
    <w:rsid w:val="00700EFC"/>
    <w:rsid w:val="00701345"/>
    <w:rsid w:val="00702339"/>
    <w:rsid w:val="0070247D"/>
    <w:rsid w:val="00702480"/>
    <w:rsid w:val="00702D79"/>
    <w:rsid w:val="00702D86"/>
    <w:rsid w:val="00704A58"/>
    <w:rsid w:val="00705241"/>
    <w:rsid w:val="007057D6"/>
    <w:rsid w:val="00710D45"/>
    <w:rsid w:val="007111B2"/>
    <w:rsid w:val="00711963"/>
    <w:rsid w:val="0071219F"/>
    <w:rsid w:val="00713FD1"/>
    <w:rsid w:val="007151CA"/>
    <w:rsid w:val="00715F49"/>
    <w:rsid w:val="007161FB"/>
    <w:rsid w:val="00716D3B"/>
    <w:rsid w:val="00717F44"/>
    <w:rsid w:val="0072222A"/>
    <w:rsid w:val="00722C5C"/>
    <w:rsid w:val="007230CE"/>
    <w:rsid w:val="00723BD3"/>
    <w:rsid w:val="00724ADE"/>
    <w:rsid w:val="007251F9"/>
    <w:rsid w:val="00725ADB"/>
    <w:rsid w:val="00725B17"/>
    <w:rsid w:val="007310F6"/>
    <w:rsid w:val="00731F8F"/>
    <w:rsid w:val="007322AC"/>
    <w:rsid w:val="00732DCF"/>
    <w:rsid w:val="0073312C"/>
    <w:rsid w:val="0073742A"/>
    <w:rsid w:val="00737B16"/>
    <w:rsid w:val="00743873"/>
    <w:rsid w:val="00743FBE"/>
    <w:rsid w:val="00744674"/>
    <w:rsid w:val="00745F09"/>
    <w:rsid w:val="0074717A"/>
    <w:rsid w:val="0074721B"/>
    <w:rsid w:val="00750576"/>
    <w:rsid w:val="00750F1C"/>
    <w:rsid w:val="00751138"/>
    <w:rsid w:val="0075233C"/>
    <w:rsid w:val="0075321C"/>
    <w:rsid w:val="007543E4"/>
    <w:rsid w:val="00755E80"/>
    <w:rsid w:val="00756B94"/>
    <w:rsid w:val="00757CDB"/>
    <w:rsid w:val="00760EAC"/>
    <w:rsid w:val="00761CDE"/>
    <w:rsid w:val="0076386A"/>
    <w:rsid w:val="00764A03"/>
    <w:rsid w:val="0076638C"/>
    <w:rsid w:val="00767D37"/>
    <w:rsid w:val="00767E00"/>
    <w:rsid w:val="0077078D"/>
    <w:rsid w:val="00771956"/>
    <w:rsid w:val="00772599"/>
    <w:rsid w:val="00773B87"/>
    <w:rsid w:val="00774D4F"/>
    <w:rsid w:val="00775D68"/>
    <w:rsid w:val="00776411"/>
    <w:rsid w:val="00777413"/>
    <w:rsid w:val="007806AA"/>
    <w:rsid w:val="00780DB8"/>
    <w:rsid w:val="00780E7E"/>
    <w:rsid w:val="00781D7A"/>
    <w:rsid w:val="0078424B"/>
    <w:rsid w:val="007851AE"/>
    <w:rsid w:val="007853EF"/>
    <w:rsid w:val="00785742"/>
    <w:rsid w:val="007868F9"/>
    <w:rsid w:val="007875CE"/>
    <w:rsid w:val="00787FAF"/>
    <w:rsid w:val="00790064"/>
    <w:rsid w:val="007900D1"/>
    <w:rsid w:val="00791549"/>
    <w:rsid w:val="007919A5"/>
    <w:rsid w:val="00791E53"/>
    <w:rsid w:val="00793B53"/>
    <w:rsid w:val="007954A1"/>
    <w:rsid w:val="00795B83"/>
    <w:rsid w:val="007976B8"/>
    <w:rsid w:val="007A03B5"/>
    <w:rsid w:val="007A0B69"/>
    <w:rsid w:val="007A1468"/>
    <w:rsid w:val="007A1C4F"/>
    <w:rsid w:val="007A2CD9"/>
    <w:rsid w:val="007A4177"/>
    <w:rsid w:val="007A5635"/>
    <w:rsid w:val="007A5918"/>
    <w:rsid w:val="007A659C"/>
    <w:rsid w:val="007A6A9F"/>
    <w:rsid w:val="007A6CA5"/>
    <w:rsid w:val="007A70F9"/>
    <w:rsid w:val="007A7335"/>
    <w:rsid w:val="007B12E2"/>
    <w:rsid w:val="007B21BE"/>
    <w:rsid w:val="007B32CC"/>
    <w:rsid w:val="007B42B8"/>
    <w:rsid w:val="007B5EC5"/>
    <w:rsid w:val="007B66BB"/>
    <w:rsid w:val="007C0DC7"/>
    <w:rsid w:val="007C1785"/>
    <w:rsid w:val="007C1BF7"/>
    <w:rsid w:val="007C22C3"/>
    <w:rsid w:val="007C28F0"/>
    <w:rsid w:val="007C3F29"/>
    <w:rsid w:val="007C560A"/>
    <w:rsid w:val="007C5B83"/>
    <w:rsid w:val="007C781A"/>
    <w:rsid w:val="007C7840"/>
    <w:rsid w:val="007C7B7A"/>
    <w:rsid w:val="007C7BC7"/>
    <w:rsid w:val="007D0484"/>
    <w:rsid w:val="007D2364"/>
    <w:rsid w:val="007D2423"/>
    <w:rsid w:val="007D242E"/>
    <w:rsid w:val="007D3462"/>
    <w:rsid w:val="007D4212"/>
    <w:rsid w:val="007D5051"/>
    <w:rsid w:val="007D5700"/>
    <w:rsid w:val="007D5E71"/>
    <w:rsid w:val="007D6238"/>
    <w:rsid w:val="007D628B"/>
    <w:rsid w:val="007D6751"/>
    <w:rsid w:val="007D6B7A"/>
    <w:rsid w:val="007D6E66"/>
    <w:rsid w:val="007E0162"/>
    <w:rsid w:val="007E1C60"/>
    <w:rsid w:val="007E26F9"/>
    <w:rsid w:val="007E2737"/>
    <w:rsid w:val="007E30D7"/>
    <w:rsid w:val="007E349E"/>
    <w:rsid w:val="007E4402"/>
    <w:rsid w:val="007E5C96"/>
    <w:rsid w:val="007E687D"/>
    <w:rsid w:val="007E7F9B"/>
    <w:rsid w:val="007F0489"/>
    <w:rsid w:val="007F053E"/>
    <w:rsid w:val="007F2082"/>
    <w:rsid w:val="007F26AC"/>
    <w:rsid w:val="007F285D"/>
    <w:rsid w:val="007F4453"/>
    <w:rsid w:val="007F478B"/>
    <w:rsid w:val="007F5080"/>
    <w:rsid w:val="007F63F1"/>
    <w:rsid w:val="007F6502"/>
    <w:rsid w:val="007F7D07"/>
    <w:rsid w:val="008004F1"/>
    <w:rsid w:val="00800A5E"/>
    <w:rsid w:val="00800B7E"/>
    <w:rsid w:val="00803262"/>
    <w:rsid w:val="00803B1F"/>
    <w:rsid w:val="00806D26"/>
    <w:rsid w:val="0081043B"/>
    <w:rsid w:val="00812F12"/>
    <w:rsid w:val="0081392C"/>
    <w:rsid w:val="00814D96"/>
    <w:rsid w:val="008158B3"/>
    <w:rsid w:val="00815937"/>
    <w:rsid w:val="00815C11"/>
    <w:rsid w:val="00816592"/>
    <w:rsid w:val="008166CE"/>
    <w:rsid w:val="008201A3"/>
    <w:rsid w:val="00821E1D"/>
    <w:rsid w:val="00822578"/>
    <w:rsid w:val="0082304A"/>
    <w:rsid w:val="00823A84"/>
    <w:rsid w:val="00824305"/>
    <w:rsid w:val="00825020"/>
    <w:rsid w:val="008263A3"/>
    <w:rsid w:val="0082795F"/>
    <w:rsid w:val="00827EBD"/>
    <w:rsid w:val="00831A2A"/>
    <w:rsid w:val="0083436F"/>
    <w:rsid w:val="00834BFE"/>
    <w:rsid w:val="00835772"/>
    <w:rsid w:val="0084013B"/>
    <w:rsid w:val="008402CA"/>
    <w:rsid w:val="00840768"/>
    <w:rsid w:val="008407CA"/>
    <w:rsid w:val="008413D0"/>
    <w:rsid w:val="00841E21"/>
    <w:rsid w:val="008422C3"/>
    <w:rsid w:val="0084403A"/>
    <w:rsid w:val="0084656F"/>
    <w:rsid w:val="0084660C"/>
    <w:rsid w:val="00850AED"/>
    <w:rsid w:val="00850C8B"/>
    <w:rsid w:val="008510C4"/>
    <w:rsid w:val="008517CC"/>
    <w:rsid w:val="00851CF4"/>
    <w:rsid w:val="008524F0"/>
    <w:rsid w:val="00855553"/>
    <w:rsid w:val="00856168"/>
    <w:rsid w:val="00860008"/>
    <w:rsid w:val="008601CD"/>
    <w:rsid w:val="00860F3D"/>
    <w:rsid w:val="00861F05"/>
    <w:rsid w:val="0086340E"/>
    <w:rsid w:val="008662C7"/>
    <w:rsid w:val="008663F5"/>
    <w:rsid w:val="008667CE"/>
    <w:rsid w:val="008668A8"/>
    <w:rsid w:val="0086713F"/>
    <w:rsid w:val="00867DA8"/>
    <w:rsid w:val="0087053B"/>
    <w:rsid w:val="00871F33"/>
    <w:rsid w:val="00872943"/>
    <w:rsid w:val="00872AAD"/>
    <w:rsid w:val="0087389F"/>
    <w:rsid w:val="00874A9F"/>
    <w:rsid w:val="00875EF8"/>
    <w:rsid w:val="0087683E"/>
    <w:rsid w:val="008771E6"/>
    <w:rsid w:val="00877B13"/>
    <w:rsid w:val="00880279"/>
    <w:rsid w:val="008822D0"/>
    <w:rsid w:val="00883D37"/>
    <w:rsid w:val="00886209"/>
    <w:rsid w:val="00886791"/>
    <w:rsid w:val="00887112"/>
    <w:rsid w:val="00890080"/>
    <w:rsid w:val="008902FD"/>
    <w:rsid w:val="00891D5D"/>
    <w:rsid w:val="0089281B"/>
    <w:rsid w:val="00892C7D"/>
    <w:rsid w:val="00892E5A"/>
    <w:rsid w:val="00892FA8"/>
    <w:rsid w:val="00892FFE"/>
    <w:rsid w:val="008943F4"/>
    <w:rsid w:val="00894675"/>
    <w:rsid w:val="0089543E"/>
    <w:rsid w:val="0089599E"/>
    <w:rsid w:val="00896ECB"/>
    <w:rsid w:val="008975D1"/>
    <w:rsid w:val="008977D0"/>
    <w:rsid w:val="008A1017"/>
    <w:rsid w:val="008A148B"/>
    <w:rsid w:val="008A1794"/>
    <w:rsid w:val="008A2732"/>
    <w:rsid w:val="008A2953"/>
    <w:rsid w:val="008A2E63"/>
    <w:rsid w:val="008A2E8A"/>
    <w:rsid w:val="008A3D3B"/>
    <w:rsid w:val="008A77BE"/>
    <w:rsid w:val="008A7D0E"/>
    <w:rsid w:val="008A7DCE"/>
    <w:rsid w:val="008B06AB"/>
    <w:rsid w:val="008B0C77"/>
    <w:rsid w:val="008B237F"/>
    <w:rsid w:val="008B2B45"/>
    <w:rsid w:val="008B2BBE"/>
    <w:rsid w:val="008B3B03"/>
    <w:rsid w:val="008B4120"/>
    <w:rsid w:val="008B4365"/>
    <w:rsid w:val="008B47A3"/>
    <w:rsid w:val="008B519C"/>
    <w:rsid w:val="008B5B53"/>
    <w:rsid w:val="008B613F"/>
    <w:rsid w:val="008B6F7D"/>
    <w:rsid w:val="008C1661"/>
    <w:rsid w:val="008C167D"/>
    <w:rsid w:val="008C168B"/>
    <w:rsid w:val="008C1F29"/>
    <w:rsid w:val="008C2D38"/>
    <w:rsid w:val="008C3EED"/>
    <w:rsid w:val="008C4A2A"/>
    <w:rsid w:val="008C53EC"/>
    <w:rsid w:val="008C549F"/>
    <w:rsid w:val="008C5B1E"/>
    <w:rsid w:val="008D0991"/>
    <w:rsid w:val="008D0FA8"/>
    <w:rsid w:val="008D1969"/>
    <w:rsid w:val="008D1C2D"/>
    <w:rsid w:val="008D2264"/>
    <w:rsid w:val="008D3E3C"/>
    <w:rsid w:val="008D6A61"/>
    <w:rsid w:val="008D6B82"/>
    <w:rsid w:val="008D7439"/>
    <w:rsid w:val="008D77A8"/>
    <w:rsid w:val="008E11A6"/>
    <w:rsid w:val="008E3088"/>
    <w:rsid w:val="008E41BC"/>
    <w:rsid w:val="008E5B02"/>
    <w:rsid w:val="008E72A2"/>
    <w:rsid w:val="008E7C6C"/>
    <w:rsid w:val="008E7E65"/>
    <w:rsid w:val="008F01A6"/>
    <w:rsid w:val="008F04F0"/>
    <w:rsid w:val="008F238C"/>
    <w:rsid w:val="008F3A2D"/>
    <w:rsid w:val="008F415D"/>
    <w:rsid w:val="008F5C85"/>
    <w:rsid w:val="008F627D"/>
    <w:rsid w:val="008F6F8E"/>
    <w:rsid w:val="008F76B0"/>
    <w:rsid w:val="00902199"/>
    <w:rsid w:val="0090474C"/>
    <w:rsid w:val="009055E1"/>
    <w:rsid w:val="00905A05"/>
    <w:rsid w:val="00905EA4"/>
    <w:rsid w:val="00907C5D"/>
    <w:rsid w:val="00907CB1"/>
    <w:rsid w:val="009100A8"/>
    <w:rsid w:val="0091026F"/>
    <w:rsid w:val="00910CCD"/>
    <w:rsid w:val="00910DA2"/>
    <w:rsid w:val="009115B6"/>
    <w:rsid w:val="009119B5"/>
    <w:rsid w:val="00911C0E"/>
    <w:rsid w:val="009124B8"/>
    <w:rsid w:val="00913268"/>
    <w:rsid w:val="0091388A"/>
    <w:rsid w:val="00914194"/>
    <w:rsid w:val="00915A22"/>
    <w:rsid w:val="0091780E"/>
    <w:rsid w:val="00917B58"/>
    <w:rsid w:val="00920127"/>
    <w:rsid w:val="009211A5"/>
    <w:rsid w:val="009213A4"/>
    <w:rsid w:val="009217B3"/>
    <w:rsid w:val="009219E1"/>
    <w:rsid w:val="00921D35"/>
    <w:rsid w:val="00921F08"/>
    <w:rsid w:val="00922A1C"/>
    <w:rsid w:val="00922DF3"/>
    <w:rsid w:val="00923055"/>
    <w:rsid w:val="0092314E"/>
    <w:rsid w:val="009241B5"/>
    <w:rsid w:val="00925603"/>
    <w:rsid w:val="009257C6"/>
    <w:rsid w:val="00925924"/>
    <w:rsid w:val="00925BB4"/>
    <w:rsid w:val="00926D10"/>
    <w:rsid w:val="00927553"/>
    <w:rsid w:val="00927F53"/>
    <w:rsid w:val="00930113"/>
    <w:rsid w:val="009304F2"/>
    <w:rsid w:val="00930821"/>
    <w:rsid w:val="00930BA2"/>
    <w:rsid w:val="00930F1A"/>
    <w:rsid w:val="00931288"/>
    <w:rsid w:val="009313FD"/>
    <w:rsid w:val="0093345C"/>
    <w:rsid w:val="009345F2"/>
    <w:rsid w:val="00935B68"/>
    <w:rsid w:val="00936116"/>
    <w:rsid w:val="009369E6"/>
    <w:rsid w:val="00937B7D"/>
    <w:rsid w:val="00940697"/>
    <w:rsid w:val="00941E02"/>
    <w:rsid w:val="0094433D"/>
    <w:rsid w:val="009449B8"/>
    <w:rsid w:val="00944E88"/>
    <w:rsid w:val="00945CE3"/>
    <w:rsid w:val="00946FE4"/>
    <w:rsid w:val="009471F9"/>
    <w:rsid w:val="009477A5"/>
    <w:rsid w:val="0094795A"/>
    <w:rsid w:val="00947F59"/>
    <w:rsid w:val="00950D72"/>
    <w:rsid w:val="00950E2E"/>
    <w:rsid w:val="00951C3C"/>
    <w:rsid w:val="00951ED1"/>
    <w:rsid w:val="00952BF2"/>
    <w:rsid w:val="00953A98"/>
    <w:rsid w:val="00954262"/>
    <w:rsid w:val="00954E67"/>
    <w:rsid w:val="009555FC"/>
    <w:rsid w:val="00955ABD"/>
    <w:rsid w:val="00955B81"/>
    <w:rsid w:val="00956489"/>
    <w:rsid w:val="009564EF"/>
    <w:rsid w:val="009577E3"/>
    <w:rsid w:val="009579BE"/>
    <w:rsid w:val="00961878"/>
    <w:rsid w:val="009619C8"/>
    <w:rsid w:val="009632CE"/>
    <w:rsid w:val="00966A9F"/>
    <w:rsid w:val="00966B82"/>
    <w:rsid w:val="0097078D"/>
    <w:rsid w:val="009743C6"/>
    <w:rsid w:val="00974EEE"/>
    <w:rsid w:val="009754A9"/>
    <w:rsid w:val="00977763"/>
    <w:rsid w:val="009828B5"/>
    <w:rsid w:val="009836CB"/>
    <w:rsid w:val="00983838"/>
    <w:rsid w:val="009840D2"/>
    <w:rsid w:val="009863B3"/>
    <w:rsid w:val="00987360"/>
    <w:rsid w:val="009875A8"/>
    <w:rsid w:val="00987BCC"/>
    <w:rsid w:val="00987C4E"/>
    <w:rsid w:val="00991230"/>
    <w:rsid w:val="00991AB4"/>
    <w:rsid w:val="009932EE"/>
    <w:rsid w:val="009933F8"/>
    <w:rsid w:val="00993814"/>
    <w:rsid w:val="00993AC1"/>
    <w:rsid w:val="00993C4B"/>
    <w:rsid w:val="00993CDD"/>
    <w:rsid w:val="00994211"/>
    <w:rsid w:val="009963B3"/>
    <w:rsid w:val="00996642"/>
    <w:rsid w:val="009966DD"/>
    <w:rsid w:val="009977DA"/>
    <w:rsid w:val="009A00C0"/>
    <w:rsid w:val="009A088F"/>
    <w:rsid w:val="009A0C69"/>
    <w:rsid w:val="009A1304"/>
    <w:rsid w:val="009A1A60"/>
    <w:rsid w:val="009A2809"/>
    <w:rsid w:val="009A29ED"/>
    <w:rsid w:val="009A318E"/>
    <w:rsid w:val="009A3BE2"/>
    <w:rsid w:val="009A3FE4"/>
    <w:rsid w:val="009A43B6"/>
    <w:rsid w:val="009A4B9D"/>
    <w:rsid w:val="009A7395"/>
    <w:rsid w:val="009B0BE8"/>
    <w:rsid w:val="009B0CD8"/>
    <w:rsid w:val="009B14E3"/>
    <w:rsid w:val="009B20C9"/>
    <w:rsid w:val="009B3125"/>
    <w:rsid w:val="009B33DC"/>
    <w:rsid w:val="009B3CB5"/>
    <w:rsid w:val="009B47C6"/>
    <w:rsid w:val="009B55C7"/>
    <w:rsid w:val="009B5BD3"/>
    <w:rsid w:val="009B7215"/>
    <w:rsid w:val="009B72D3"/>
    <w:rsid w:val="009C0809"/>
    <w:rsid w:val="009C2A11"/>
    <w:rsid w:val="009C312C"/>
    <w:rsid w:val="009C3BE5"/>
    <w:rsid w:val="009C57EB"/>
    <w:rsid w:val="009C6A5A"/>
    <w:rsid w:val="009C6E55"/>
    <w:rsid w:val="009D134E"/>
    <w:rsid w:val="009D29F5"/>
    <w:rsid w:val="009D6921"/>
    <w:rsid w:val="009E0111"/>
    <w:rsid w:val="009E03AA"/>
    <w:rsid w:val="009E0DA5"/>
    <w:rsid w:val="009E160F"/>
    <w:rsid w:val="009E19CD"/>
    <w:rsid w:val="009E1ED7"/>
    <w:rsid w:val="009E2764"/>
    <w:rsid w:val="009E27BE"/>
    <w:rsid w:val="009E298A"/>
    <w:rsid w:val="009E2AAE"/>
    <w:rsid w:val="009E3618"/>
    <w:rsid w:val="009E3687"/>
    <w:rsid w:val="009E5DEC"/>
    <w:rsid w:val="009E7C01"/>
    <w:rsid w:val="009F216F"/>
    <w:rsid w:val="009F217B"/>
    <w:rsid w:val="009F474C"/>
    <w:rsid w:val="009F59B1"/>
    <w:rsid w:val="009F69AB"/>
    <w:rsid w:val="009F7820"/>
    <w:rsid w:val="009F7944"/>
    <w:rsid w:val="00A006E1"/>
    <w:rsid w:val="00A0188E"/>
    <w:rsid w:val="00A02FAC"/>
    <w:rsid w:val="00A03235"/>
    <w:rsid w:val="00A03737"/>
    <w:rsid w:val="00A04FF4"/>
    <w:rsid w:val="00A059BC"/>
    <w:rsid w:val="00A05B73"/>
    <w:rsid w:val="00A0738A"/>
    <w:rsid w:val="00A075C5"/>
    <w:rsid w:val="00A07783"/>
    <w:rsid w:val="00A115A0"/>
    <w:rsid w:val="00A12307"/>
    <w:rsid w:val="00A13003"/>
    <w:rsid w:val="00A13055"/>
    <w:rsid w:val="00A135D4"/>
    <w:rsid w:val="00A14003"/>
    <w:rsid w:val="00A1408C"/>
    <w:rsid w:val="00A14D89"/>
    <w:rsid w:val="00A15C68"/>
    <w:rsid w:val="00A16004"/>
    <w:rsid w:val="00A16371"/>
    <w:rsid w:val="00A201D9"/>
    <w:rsid w:val="00A20793"/>
    <w:rsid w:val="00A21DA8"/>
    <w:rsid w:val="00A23019"/>
    <w:rsid w:val="00A24205"/>
    <w:rsid w:val="00A24F70"/>
    <w:rsid w:val="00A26391"/>
    <w:rsid w:val="00A269BD"/>
    <w:rsid w:val="00A27098"/>
    <w:rsid w:val="00A30527"/>
    <w:rsid w:val="00A3084A"/>
    <w:rsid w:val="00A30AF5"/>
    <w:rsid w:val="00A3107F"/>
    <w:rsid w:val="00A311D9"/>
    <w:rsid w:val="00A3143E"/>
    <w:rsid w:val="00A315B4"/>
    <w:rsid w:val="00A3167C"/>
    <w:rsid w:val="00A3170D"/>
    <w:rsid w:val="00A3295F"/>
    <w:rsid w:val="00A32E09"/>
    <w:rsid w:val="00A3374C"/>
    <w:rsid w:val="00A33A11"/>
    <w:rsid w:val="00A343A3"/>
    <w:rsid w:val="00A346E2"/>
    <w:rsid w:val="00A34E83"/>
    <w:rsid w:val="00A366E1"/>
    <w:rsid w:val="00A36F2F"/>
    <w:rsid w:val="00A4031C"/>
    <w:rsid w:val="00A40DAF"/>
    <w:rsid w:val="00A41788"/>
    <w:rsid w:val="00A4198E"/>
    <w:rsid w:val="00A41990"/>
    <w:rsid w:val="00A42ACE"/>
    <w:rsid w:val="00A42D57"/>
    <w:rsid w:val="00A46413"/>
    <w:rsid w:val="00A46A2E"/>
    <w:rsid w:val="00A46B93"/>
    <w:rsid w:val="00A472E0"/>
    <w:rsid w:val="00A479CF"/>
    <w:rsid w:val="00A506B9"/>
    <w:rsid w:val="00A536A5"/>
    <w:rsid w:val="00A55241"/>
    <w:rsid w:val="00A552DA"/>
    <w:rsid w:val="00A5763B"/>
    <w:rsid w:val="00A577B2"/>
    <w:rsid w:val="00A578E6"/>
    <w:rsid w:val="00A60436"/>
    <w:rsid w:val="00A60A08"/>
    <w:rsid w:val="00A60D0F"/>
    <w:rsid w:val="00A61F6A"/>
    <w:rsid w:val="00A6219D"/>
    <w:rsid w:val="00A638D2"/>
    <w:rsid w:val="00A63C94"/>
    <w:rsid w:val="00A63DA8"/>
    <w:rsid w:val="00A64538"/>
    <w:rsid w:val="00A64750"/>
    <w:rsid w:val="00A64E30"/>
    <w:rsid w:val="00A65048"/>
    <w:rsid w:val="00A65580"/>
    <w:rsid w:val="00A65E1D"/>
    <w:rsid w:val="00A65FE5"/>
    <w:rsid w:val="00A67C72"/>
    <w:rsid w:val="00A67E00"/>
    <w:rsid w:val="00A70DCB"/>
    <w:rsid w:val="00A719F9"/>
    <w:rsid w:val="00A725B5"/>
    <w:rsid w:val="00A732D2"/>
    <w:rsid w:val="00A74038"/>
    <w:rsid w:val="00A74E56"/>
    <w:rsid w:val="00A75BA4"/>
    <w:rsid w:val="00A75F92"/>
    <w:rsid w:val="00A776E9"/>
    <w:rsid w:val="00A77F0D"/>
    <w:rsid w:val="00A80602"/>
    <w:rsid w:val="00A80DC3"/>
    <w:rsid w:val="00A81164"/>
    <w:rsid w:val="00A81291"/>
    <w:rsid w:val="00A815C2"/>
    <w:rsid w:val="00A81DEB"/>
    <w:rsid w:val="00A82D42"/>
    <w:rsid w:val="00A8378A"/>
    <w:rsid w:val="00A85585"/>
    <w:rsid w:val="00A85981"/>
    <w:rsid w:val="00A859AD"/>
    <w:rsid w:val="00A86160"/>
    <w:rsid w:val="00A86A6C"/>
    <w:rsid w:val="00A872C2"/>
    <w:rsid w:val="00A8731E"/>
    <w:rsid w:val="00A900C3"/>
    <w:rsid w:val="00A9035E"/>
    <w:rsid w:val="00A9079F"/>
    <w:rsid w:val="00A928FF"/>
    <w:rsid w:val="00A9317F"/>
    <w:rsid w:val="00A93275"/>
    <w:rsid w:val="00A93711"/>
    <w:rsid w:val="00A937FA"/>
    <w:rsid w:val="00A94A96"/>
    <w:rsid w:val="00A9570D"/>
    <w:rsid w:val="00A95BC2"/>
    <w:rsid w:val="00A95D95"/>
    <w:rsid w:val="00A96A7E"/>
    <w:rsid w:val="00A9743E"/>
    <w:rsid w:val="00A974DE"/>
    <w:rsid w:val="00AA0067"/>
    <w:rsid w:val="00AA12F3"/>
    <w:rsid w:val="00AA26A2"/>
    <w:rsid w:val="00AA2A07"/>
    <w:rsid w:val="00AA2BB2"/>
    <w:rsid w:val="00AA3350"/>
    <w:rsid w:val="00AA34F2"/>
    <w:rsid w:val="00AA3942"/>
    <w:rsid w:val="00AA4AD1"/>
    <w:rsid w:val="00AA5C74"/>
    <w:rsid w:val="00AA6223"/>
    <w:rsid w:val="00AA6ACE"/>
    <w:rsid w:val="00AA77DD"/>
    <w:rsid w:val="00AB1170"/>
    <w:rsid w:val="00AB2811"/>
    <w:rsid w:val="00AB3E1D"/>
    <w:rsid w:val="00AB49F7"/>
    <w:rsid w:val="00AB6AF0"/>
    <w:rsid w:val="00AB732A"/>
    <w:rsid w:val="00AC09CA"/>
    <w:rsid w:val="00AC0F85"/>
    <w:rsid w:val="00AC11A7"/>
    <w:rsid w:val="00AC16A9"/>
    <w:rsid w:val="00AC1726"/>
    <w:rsid w:val="00AC24AE"/>
    <w:rsid w:val="00AC36C3"/>
    <w:rsid w:val="00AC42DE"/>
    <w:rsid w:val="00AC488C"/>
    <w:rsid w:val="00AC4CD3"/>
    <w:rsid w:val="00AC4CDE"/>
    <w:rsid w:val="00AC5545"/>
    <w:rsid w:val="00AC62F2"/>
    <w:rsid w:val="00AC66A2"/>
    <w:rsid w:val="00AC6B91"/>
    <w:rsid w:val="00AD02D2"/>
    <w:rsid w:val="00AD140C"/>
    <w:rsid w:val="00AD2524"/>
    <w:rsid w:val="00AD2C60"/>
    <w:rsid w:val="00AD2D87"/>
    <w:rsid w:val="00AD351E"/>
    <w:rsid w:val="00AD3BF5"/>
    <w:rsid w:val="00AD48FB"/>
    <w:rsid w:val="00AD55B4"/>
    <w:rsid w:val="00AD584B"/>
    <w:rsid w:val="00AD591F"/>
    <w:rsid w:val="00AD5B28"/>
    <w:rsid w:val="00AD5CC0"/>
    <w:rsid w:val="00AD660E"/>
    <w:rsid w:val="00AD6BA1"/>
    <w:rsid w:val="00AD6BE6"/>
    <w:rsid w:val="00AD6DF8"/>
    <w:rsid w:val="00AD7F69"/>
    <w:rsid w:val="00AE0485"/>
    <w:rsid w:val="00AE0A04"/>
    <w:rsid w:val="00AE1089"/>
    <w:rsid w:val="00AE1A73"/>
    <w:rsid w:val="00AE38B5"/>
    <w:rsid w:val="00AE445C"/>
    <w:rsid w:val="00AE6EC7"/>
    <w:rsid w:val="00AF0A94"/>
    <w:rsid w:val="00AF40D7"/>
    <w:rsid w:val="00AF498E"/>
    <w:rsid w:val="00AF6E4C"/>
    <w:rsid w:val="00AF7752"/>
    <w:rsid w:val="00B01CF9"/>
    <w:rsid w:val="00B01F00"/>
    <w:rsid w:val="00B02608"/>
    <w:rsid w:val="00B02984"/>
    <w:rsid w:val="00B0326E"/>
    <w:rsid w:val="00B034AA"/>
    <w:rsid w:val="00B03950"/>
    <w:rsid w:val="00B049C3"/>
    <w:rsid w:val="00B0792E"/>
    <w:rsid w:val="00B104E9"/>
    <w:rsid w:val="00B10D82"/>
    <w:rsid w:val="00B12CB7"/>
    <w:rsid w:val="00B1357F"/>
    <w:rsid w:val="00B13CD8"/>
    <w:rsid w:val="00B141D0"/>
    <w:rsid w:val="00B14918"/>
    <w:rsid w:val="00B17A7B"/>
    <w:rsid w:val="00B17B63"/>
    <w:rsid w:val="00B204BD"/>
    <w:rsid w:val="00B205C4"/>
    <w:rsid w:val="00B21D22"/>
    <w:rsid w:val="00B23805"/>
    <w:rsid w:val="00B245B9"/>
    <w:rsid w:val="00B24D97"/>
    <w:rsid w:val="00B24E8A"/>
    <w:rsid w:val="00B25EA0"/>
    <w:rsid w:val="00B267E6"/>
    <w:rsid w:val="00B26B46"/>
    <w:rsid w:val="00B26F0B"/>
    <w:rsid w:val="00B27F2E"/>
    <w:rsid w:val="00B30174"/>
    <w:rsid w:val="00B30878"/>
    <w:rsid w:val="00B315C6"/>
    <w:rsid w:val="00B34976"/>
    <w:rsid w:val="00B353C9"/>
    <w:rsid w:val="00B35649"/>
    <w:rsid w:val="00B35BC3"/>
    <w:rsid w:val="00B35D29"/>
    <w:rsid w:val="00B36F8D"/>
    <w:rsid w:val="00B36FE7"/>
    <w:rsid w:val="00B40EBC"/>
    <w:rsid w:val="00B424F5"/>
    <w:rsid w:val="00B42C1C"/>
    <w:rsid w:val="00B432F7"/>
    <w:rsid w:val="00B45154"/>
    <w:rsid w:val="00B4637A"/>
    <w:rsid w:val="00B50521"/>
    <w:rsid w:val="00B516D2"/>
    <w:rsid w:val="00B52EDB"/>
    <w:rsid w:val="00B55116"/>
    <w:rsid w:val="00B55301"/>
    <w:rsid w:val="00B5567C"/>
    <w:rsid w:val="00B57DC7"/>
    <w:rsid w:val="00B57F7D"/>
    <w:rsid w:val="00B6007D"/>
    <w:rsid w:val="00B603AE"/>
    <w:rsid w:val="00B60672"/>
    <w:rsid w:val="00B60824"/>
    <w:rsid w:val="00B6142E"/>
    <w:rsid w:val="00B6187E"/>
    <w:rsid w:val="00B6287E"/>
    <w:rsid w:val="00B62C18"/>
    <w:rsid w:val="00B63F86"/>
    <w:rsid w:val="00B66E8F"/>
    <w:rsid w:val="00B67263"/>
    <w:rsid w:val="00B709AB"/>
    <w:rsid w:val="00B70D30"/>
    <w:rsid w:val="00B712A7"/>
    <w:rsid w:val="00B72420"/>
    <w:rsid w:val="00B72CC6"/>
    <w:rsid w:val="00B72D2A"/>
    <w:rsid w:val="00B73334"/>
    <w:rsid w:val="00B7489E"/>
    <w:rsid w:val="00B751AC"/>
    <w:rsid w:val="00B757DF"/>
    <w:rsid w:val="00B75977"/>
    <w:rsid w:val="00B761D3"/>
    <w:rsid w:val="00B768F2"/>
    <w:rsid w:val="00B804C6"/>
    <w:rsid w:val="00B80B76"/>
    <w:rsid w:val="00B81892"/>
    <w:rsid w:val="00B8191D"/>
    <w:rsid w:val="00B819C8"/>
    <w:rsid w:val="00B81C9E"/>
    <w:rsid w:val="00B84308"/>
    <w:rsid w:val="00B843A9"/>
    <w:rsid w:val="00B856C1"/>
    <w:rsid w:val="00B864B6"/>
    <w:rsid w:val="00B86D1C"/>
    <w:rsid w:val="00B870FC"/>
    <w:rsid w:val="00B8722E"/>
    <w:rsid w:val="00B87327"/>
    <w:rsid w:val="00B87A0B"/>
    <w:rsid w:val="00B906E7"/>
    <w:rsid w:val="00B9075B"/>
    <w:rsid w:val="00B928CB"/>
    <w:rsid w:val="00B92C1E"/>
    <w:rsid w:val="00B93799"/>
    <w:rsid w:val="00B94600"/>
    <w:rsid w:val="00B94A04"/>
    <w:rsid w:val="00B96308"/>
    <w:rsid w:val="00B97926"/>
    <w:rsid w:val="00BA0621"/>
    <w:rsid w:val="00BA1D39"/>
    <w:rsid w:val="00BA2880"/>
    <w:rsid w:val="00BA34EC"/>
    <w:rsid w:val="00BA55F4"/>
    <w:rsid w:val="00BA64BE"/>
    <w:rsid w:val="00BA7BB1"/>
    <w:rsid w:val="00BB33CA"/>
    <w:rsid w:val="00BB4B6C"/>
    <w:rsid w:val="00BB4BAA"/>
    <w:rsid w:val="00BB53EA"/>
    <w:rsid w:val="00BB549A"/>
    <w:rsid w:val="00BB6880"/>
    <w:rsid w:val="00BB6EB1"/>
    <w:rsid w:val="00BB70A3"/>
    <w:rsid w:val="00BB790F"/>
    <w:rsid w:val="00BC0C64"/>
    <w:rsid w:val="00BC1F55"/>
    <w:rsid w:val="00BC3020"/>
    <w:rsid w:val="00BC34C8"/>
    <w:rsid w:val="00BC40CE"/>
    <w:rsid w:val="00BC4ECC"/>
    <w:rsid w:val="00BC5200"/>
    <w:rsid w:val="00BC59FC"/>
    <w:rsid w:val="00BC5DB8"/>
    <w:rsid w:val="00BC5F1A"/>
    <w:rsid w:val="00BC64EC"/>
    <w:rsid w:val="00BC6D17"/>
    <w:rsid w:val="00BC7990"/>
    <w:rsid w:val="00BD29F5"/>
    <w:rsid w:val="00BD2A4C"/>
    <w:rsid w:val="00BD2E46"/>
    <w:rsid w:val="00BD377E"/>
    <w:rsid w:val="00BD3E15"/>
    <w:rsid w:val="00BD4C80"/>
    <w:rsid w:val="00BD5799"/>
    <w:rsid w:val="00BD5A2E"/>
    <w:rsid w:val="00BE1480"/>
    <w:rsid w:val="00BE1BC5"/>
    <w:rsid w:val="00BE2180"/>
    <w:rsid w:val="00BE2DAE"/>
    <w:rsid w:val="00BE3047"/>
    <w:rsid w:val="00BE413D"/>
    <w:rsid w:val="00BE44FB"/>
    <w:rsid w:val="00BE4CF3"/>
    <w:rsid w:val="00BE6542"/>
    <w:rsid w:val="00BE70B6"/>
    <w:rsid w:val="00BE7D1A"/>
    <w:rsid w:val="00BF0158"/>
    <w:rsid w:val="00BF049C"/>
    <w:rsid w:val="00BF3071"/>
    <w:rsid w:val="00BF3251"/>
    <w:rsid w:val="00BF51CA"/>
    <w:rsid w:val="00BF59C4"/>
    <w:rsid w:val="00BF6711"/>
    <w:rsid w:val="00BF6C82"/>
    <w:rsid w:val="00BF7B67"/>
    <w:rsid w:val="00C003E4"/>
    <w:rsid w:val="00C00AB6"/>
    <w:rsid w:val="00C00CB3"/>
    <w:rsid w:val="00C010C9"/>
    <w:rsid w:val="00C01112"/>
    <w:rsid w:val="00C01EE8"/>
    <w:rsid w:val="00C01F33"/>
    <w:rsid w:val="00C03B30"/>
    <w:rsid w:val="00C03F4E"/>
    <w:rsid w:val="00C04703"/>
    <w:rsid w:val="00C0668E"/>
    <w:rsid w:val="00C06D3B"/>
    <w:rsid w:val="00C11BB7"/>
    <w:rsid w:val="00C1225F"/>
    <w:rsid w:val="00C130D5"/>
    <w:rsid w:val="00C142FB"/>
    <w:rsid w:val="00C14A9E"/>
    <w:rsid w:val="00C220A2"/>
    <w:rsid w:val="00C22204"/>
    <w:rsid w:val="00C22790"/>
    <w:rsid w:val="00C23B02"/>
    <w:rsid w:val="00C24176"/>
    <w:rsid w:val="00C24278"/>
    <w:rsid w:val="00C246D1"/>
    <w:rsid w:val="00C25408"/>
    <w:rsid w:val="00C25A49"/>
    <w:rsid w:val="00C26E92"/>
    <w:rsid w:val="00C3047E"/>
    <w:rsid w:val="00C30ED8"/>
    <w:rsid w:val="00C33DFA"/>
    <w:rsid w:val="00C35687"/>
    <w:rsid w:val="00C35B0C"/>
    <w:rsid w:val="00C36D3F"/>
    <w:rsid w:val="00C36D95"/>
    <w:rsid w:val="00C40971"/>
    <w:rsid w:val="00C412CF"/>
    <w:rsid w:val="00C4208F"/>
    <w:rsid w:val="00C42415"/>
    <w:rsid w:val="00C43B7C"/>
    <w:rsid w:val="00C44730"/>
    <w:rsid w:val="00C4483A"/>
    <w:rsid w:val="00C45074"/>
    <w:rsid w:val="00C465BE"/>
    <w:rsid w:val="00C46AA0"/>
    <w:rsid w:val="00C46EFC"/>
    <w:rsid w:val="00C5001E"/>
    <w:rsid w:val="00C51A31"/>
    <w:rsid w:val="00C529B7"/>
    <w:rsid w:val="00C538BE"/>
    <w:rsid w:val="00C55697"/>
    <w:rsid w:val="00C55C14"/>
    <w:rsid w:val="00C55F45"/>
    <w:rsid w:val="00C575A7"/>
    <w:rsid w:val="00C57C8D"/>
    <w:rsid w:val="00C60589"/>
    <w:rsid w:val="00C619E9"/>
    <w:rsid w:val="00C63945"/>
    <w:rsid w:val="00C65D04"/>
    <w:rsid w:val="00C678BC"/>
    <w:rsid w:val="00C6797A"/>
    <w:rsid w:val="00C67A78"/>
    <w:rsid w:val="00C67B2A"/>
    <w:rsid w:val="00C72131"/>
    <w:rsid w:val="00C7236B"/>
    <w:rsid w:val="00C72499"/>
    <w:rsid w:val="00C73FAC"/>
    <w:rsid w:val="00C74B4B"/>
    <w:rsid w:val="00C75023"/>
    <w:rsid w:val="00C75716"/>
    <w:rsid w:val="00C76696"/>
    <w:rsid w:val="00C76FCE"/>
    <w:rsid w:val="00C775EC"/>
    <w:rsid w:val="00C77883"/>
    <w:rsid w:val="00C77D84"/>
    <w:rsid w:val="00C80834"/>
    <w:rsid w:val="00C8103B"/>
    <w:rsid w:val="00C81448"/>
    <w:rsid w:val="00C8196E"/>
    <w:rsid w:val="00C821B0"/>
    <w:rsid w:val="00C825B9"/>
    <w:rsid w:val="00C82842"/>
    <w:rsid w:val="00C8291F"/>
    <w:rsid w:val="00C83C18"/>
    <w:rsid w:val="00C845B6"/>
    <w:rsid w:val="00C84FB8"/>
    <w:rsid w:val="00C8552A"/>
    <w:rsid w:val="00C85618"/>
    <w:rsid w:val="00C85908"/>
    <w:rsid w:val="00C86CC4"/>
    <w:rsid w:val="00C875B0"/>
    <w:rsid w:val="00C918AB"/>
    <w:rsid w:val="00C91D3B"/>
    <w:rsid w:val="00C91D64"/>
    <w:rsid w:val="00C91E98"/>
    <w:rsid w:val="00C92817"/>
    <w:rsid w:val="00C93633"/>
    <w:rsid w:val="00C93787"/>
    <w:rsid w:val="00C93A65"/>
    <w:rsid w:val="00C93B9E"/>
    <w:rsid w:val="00C93C89"/>
    <w:rsid w:val="00C94B85"/>
    <w:rsid w:val="00C94C87"/>
    <w:rsid w:val="00C96105"/>
    <w:rsid w:val="00C96AA1"/>
    <w:rsid w:val="00C96D4A"/>
    <w:rsid w:val="00C976B4"/>
    <w:rsid w:val="00CA0287"/>
    <w:rsid w:val="00CA0562"/>
    <w:rsid w:val="00CA0B18"/>
    <w:rsid w:val="00CA0F16"/>
    <w:rsid w:val="00CA1101"/>
    <w:rsid w:val="00CA11FF"/>
    <w:rsid w:val="00CA2543"/>
    <w:rsid w:val="00CA2757"/>
    <w:rsid w:val="00CA49C4"/>
    <w:rsid w:val="00CA4FA6"/>
    <w:rsid w:val="00CA5452"/>
    <w:rsid w:val="00CA77F6"/>
    <w:rsid w:val="00CA7D18"/>
    <w:rsid w:val="00CB0777"/>
    <w:rsid w:val="00CB3E4E"/>
    <w:rsid w:val="00CB502B"/>
    <w:rsid w:val="00CB5441"/>
    <w:rsid w:val="00CB6402"/>
    <w:rsid w:val="00CB64EE"/>
    <w:rsid w:val="00CB67B0"/>
    <w:rsid w:val="00CB7622"/>
    <w:rsid w:val="00CB76A8"/>
    <w:rsid w:val="00CC00BE"/>
    <w:rsid w:val="00CC0126"/>
    <w:rsid w:val="00CC0305"/>
    <w:rsid w:val="00CC3226"/>
    <w:rsid w:val="00CC42A6"/>
    <w:rsid w:val="00CC452E"/>
    <w:rsid w:val="00CC4D93"/>
    <w:rsid w:val="00CC51EA"/>
    <w:rsid w:val="00CC52AE"/>
    <w:rsid w:val="00CC593D"/>
    <w:rsid w:val="00CC6497"/>
    <w:rsid w:val="00CC68C8"/>
    <w:rsid w:val="00CD0395"/>
    <w:rsid w:val="00CD08BA"/>
    <w:rsid w:val="00CD123A"/>
    <w:rsid w:val="00CD12AC"/>
    <w:rsid w:val="00CD282F"/>
    <w:rsid w:val="00CD29E4"/>
    <w:rsid w:val="00CD5409"/>
    <w:rsid w:val="00CD6703"/>
    <w:rsid w:val="00CD68B4"/>
    <w:rsid w:val="00CD6F1E"/>
    <w:rsid w:val="00CD766F"/>
    <w:rsid w:val="00CD77A3"/>
    <w:rsid w:val="00CD7A5C"/>
    <w:rsid w:val="00CD7C12"/>
    <w:rsid w:val="00CE0294"/>
    <w:rsid w:val="00CE2567"/>
    <w:rsid w:val="00CE2CBD"/>
    <w:rsid w:val="00CE2E8D"/>
    <w:rsid w:val="00CE36AA"/>
    <w:rsid w:val="00CE3B50"/>
    <w:rsid w:val="00CE3B75"/>
    <w:rsid w:val="00CE4E8C"/>
    <w:rsid w:val="00CE527B"/>
    <w:rsid w:val="00CE6F25"/>
    <w:rsid w:val="00CF072E"/>
    <w:rsid w:val="00CF1179"/>
    <w:rsid w:val="00CF19CB"/>
    <w:rsid w:val="00CF32FF"/>
    <w:rsid w:val="00CF37C4"/>
    <w:rsid w:val="00CF4DEE"/>
    <w:rsid w:val="00CF6FFD"/>
    <w:rsid w:val="00CF78D1"/>
    <w:rsid w:val="00D00BD5"/>
    <w:rsid w:val="00D00E34"/>
    <w:rsid w:val="00D025F9"/>
    <w:rsid w:val="00D03D0F"/>
    <w:rsid w:val="00D05A93"/>
    <w:rsid w:val="00D05EEC"/>
    <w:rsid w:val="00D06233"/>
    <w:rsid w:val="00D06FC9"/>
    <w:rsid w:val="00D109F6"/>
    <w:rsid w:val="00D111D4"/>
    <w:rsid w:val="00D116A9"/>
    <w:rsid w:val="00D11849"/>
    <w:rsid w:val="00D118CE"/>
    <w:rsid w:val="00D12156"/>
    <w:rsid w:val="00D13143"/>
    <w:rsid w:val="00D1339E"/>
    <w:rsid w:val="00D140D9"/>
    <w:rsid w:val="00D150A8"/>
    <w:rsid w:val="00D150B2"/>
    <w:rsid w:val="00D1564F"/>
    <w:rsid w:val="00D163A7"/>
    <w:rsid w:val="00D21025"/>
    <w:rsid w:val="00D21643"/>
    <w:rsid w:val="00D21A82"/>
    <w:rsid w:val="00D2292E"/>
    <w:rsid w:val="00D22949"/>
    <w:rsid w:val="00D230A9"/>
    <w:rsid w:val="00D234C5"/>
    <w:rsid w:val="00D254FE"/>
    <w:rsid w:val="00D25507"/>
    <w:rsid w:val="00D27191"/>
    <w:rsid w:val="00D27249"/>
    <w:rsid w:val="00D274F5"/>
    <w:rsid w:val="00D31225"/>
    <w:rsid w:val="00D314A1"/>
    <w:rsid w:val="00D32083"/>
    <w:rsid w:val="00D32668"/>
    <w:rsid w:val="00D32D5A"/>
    <w:rsid w:val="00D3388E"/>
    <w:rsid w:val="00D33F26"/>
    <w:rsid w:val="00D34BFF"/>
    <w:rsid w:val="00D362FD"/>
    <w:rsid w:val="00D366B9"/>
    <w:rsid w:val="00D368CC"/>
    <w:rsid w:val="00D3729D"/>
    <w:rsid w:val="00D377F7"/>
    <w:rsid w:val="00D40AFF"/>
    <w:rsid w:val="00D41671"/>
    <w:rsid w:val="00D42E23"/>
    <w:rsid w:val="00D42F2F"/>
    <w:rsid w:val="00D4408D"/>
    <w:rsid w:val="00D4410A"/>
    <w:rsid w:val="00D45166"/>
    <w:rsid w:val="00D458A7"/>
    <w:rsid w:val="00D45978"/>
    <w:rsid w:val="00D464D8"/>
    <w:rsid w:val="00D4692D"/>
    <w:rsid w:val="00D47066"/>
    <w:rsid w:val="00D50298"/>
    <w:rsid w:val="00D508E0"/>
    <w:rsid w:val="00D51B6A"/>
    <w:rsid w:val="00D52003"/>
    <w:rsid w:val="00D541C3"/>
    <w:rsid w:val="00D54CC7"/>
    <w:rsid w:val="00D56EFB"/>
    <w:rsid w:val="00D60434"/>
    <w:rsid w:val="00D61303"/>
    <w:rsid w:val="00D62887"/>
    <w:rsid w:val="00D64F7A"/>
    <w:rsid w:val="00D66325"/>
    <w:rsid w:val="00D71F87"/>
    <w:rsid w:val="00D723DA"/>
    <w:rsid w:val="00D7293D"/>
    <w:rsid w:val="00D73B8E"/>
    <w:rsid w:val="00D749B2"/>
    <w:rsid w:val="00D75C7A"/>
    <w:rsid w:val="00D76D61"/>
    <w:rsid w:val="00D7705C"/>
    <w:rsid w:val="00D779EA"/>
    <w:rsid w:val="00D77A04"/>
    <w:rsid w:val="00D805D0"/>
    <w:rsid w:val="00D831B4"/>
    <w:rsid w:val="00D8432B"/>
    <w:rsid w:val="00D84417"/>
    <w:rsid w:val="00D84757"/>
    <w:rsid w:val="00D84A00"/>
    <w:rsid w:val="00D86F8D"/>
    <w:rsid w:val="00D87716"/>
    <w:rsid w:val="00D87DD8"/>
    <w:rsid w:val="00D90086"/>
    <w:rsid w:val="00D9048C"/>
    <w:rsid w:val="00D91715"/>
    <w:rsid w:val="00D91AF1"/>
    <w:rsid w:val="00D91B83"/>
    <w:rsid w:val="00D9415B"/>
    <w:rsid w:val="00D94D9C"/>
    <w:rsid w:val="00D956C9"/>
    <w:rsid w:val="00D95827"/>
    <w:rsid w:val="00DA0421"/>
    <w:rsid w:val="00DA0F56"/>
    <w:rsid w:val="00DA1BDF"/>
    <w:rsid w:val="00DA2439"/>
    <w:rsid w:val="00DA2542"/>
    <w:rsid w:val="00DA30D7"/>
    <w:rsid w:val="00DA31B9"/>
    <w:rsid w:val="00DA4A05"/>
    <w:rsid w:val="00DA4CE2"/>
    <w:rsid w:val="00DA51C4"/>
    <w:rsid w:val="00DA5D8A"/>
    <w:rsid w:val="00DA6020"/>
    <w:rsid w:val="00DA7428"/>
    <w:rsid w:val="00DB0215"/>
    <w:rsid w:val="00DB1ECF"/>
    <w:rsid w:val="00DB4082"/>
    <w:rsid w:val="00DB4316"/>
    <w:rsid w:val="00DB56AD"/>
    <w:rsid w:val="00DB5CC5"/>
    <w:rsid w:val="00DB6B91"/>
    <w:rsid w:val="00DB7ADE"/>
    <w:rsid w:val="00DC00B6"/>
    <w:rsid w:val="00DC0A91"/>
    <w:rsid w:val="00DC0F83"/>
    <w:rsid w:val="00DC130A"/>
    <w:rsid w:val="00DC141D"/>
    <w:rsid w:val="00DC1B8B"/>
    <w:rsid w:val="00DC1C7A"/>
    <w:rsid w:val="00DC32C4"/>
    <w:rsid w:val="00DC3B73"/>
    <w:rsid w:val="00DC3BE0"/>
    <w:rsid w:val="00DC5160"/>
    <w:rsid w:val="00DC53CE"/>
    <w:rsid w:val="00DC5D84"/>
    <w:rsid w:val="00DC60FA"/>
    <w:rsid w:val="00DC613D"/>
    <w:rsid w:val="00DC73F3"/>
    <w:rsid w:val="00DC7B18"/>
    <w:rsid w:val="00DD0010"/>
    <w:rsid w:val="00DD0A27"/>
    <w:rsid w:val="00DD1506"/>
    <w:rsid w:val="00DD2003"/>
    <w:rsid w:val="00DD32DA"/>
    <w:rsid w:val="00DD3758"/>
    <w:rsid w:val="00DD3D73"/>
    <w:rsid w:val="00DD4F7B"/>
    <w:rsid w:val="00DD507A"/>
    <w:rsid w:val="00DD59C3"/>
    <w:rsid w:val="00DD73AF"/>
    <w:rsid w:val="00DE0B43"/>
    <w:rsid w:val="00DE1EEB"/>
    <w:rsid w:val="00DE1F5A"/>
    <w:rsid w:val="00DE2080"/>
    <w:rsid w:val="00DE210F"/>
    <w:rsid w:val="00DE221D"/>
    <w:rsid w:val="00DE34E6"/>
    <w:rsid w:val="00DE3636"/>
    <w:rsid w:val="00DE37A5"/>
    <w:rsid w:val="00DE37A9"/>
    <w:rsid w:val="00DE398D"/>
    <w:rsid w:val="00DE4E2D"/>
    <w:rsid w:val="00DE4FE5"/>
    <w:rsid w:val="00DE5415"/>
    <w:rsid w:val="00DE5A61"/>
    <w:rsid w:val="00DE5BBF"/>
    <w:rsid w:val="00DE698F"/>
    <w:rsid w:val="00DF0F9A"/>
    <w:rsid w:val="00DF47BB"/>
    <w:rsid w:val="00DF4C6E"/>
    <w:rsid w:val="00DF518D"/>
    <w:rsid w:val="00DF5965"/>
    <w:rsid w:val="00DF6385"/>
    <w:rsid w:val="00DF6A3F"/>
    <w:rsid w:val="00DF7745"/>
    <w:rsid w:val="00DF79B2"/>
    <w:rsid w:val="00E0008D"/>
    <w:rsid w:val="00E00457"/>
    <w:rsid w:val="00E03451"/>
    <w:rsid w:val="00E049F0"/>
    <w:rsid w:val="00E06036"/>
    <w:rsid w:val="00E06262"/>
    <w:rsid w:val="00E101A2"/>
    <w:rsid w:val="00E10762"/>
    <w:rsid w:val="00E110FC"/>
    <w:rsid w:val="00E112D2"/>
    <w:rsid w:val="00E1302B"/>
    <w:rsid w:val="00E13F62"/>
    <w:rsid w:val="00E14431"/>
    <w:rsid w:val="00E15E6D"/>
    <w:rsid w:val="00E1641F"/>
    <w:rsid w:val="00E17AE9"/>
    <w:rsid w:val="00E17C16"/>
    <w:rsid w:val="00E207C7"/>
    <w:rsid w:val="00E20EBA"/>
    <w:rsid w:val="00E21357"/>
    <w:rsid w:val="00E217EB"/>
    <w:rsid w:val="00E21BC9"/>
    <w:rsid w:val="00E21EAC"/>
    <w:rsid w:val="00E21F92"/>
    <w:rsid w:val="00E225B3"/>
    <w:rsid w:val="00E22841"/>
    <w:rsid w:val="00E240BD"/>
    <w:rsid w:val="00E250A9"/>
    <w:rsid w:val="00E25392"/>
    <w:rsid w:val="00E303F7"/>
    <w:rsid w:val="00E30BFB"/>
    <w:rsid w:val="00E31C2A"/>
    <w:rsid w:val="00E3262D"/>
    <w:rsid w:val="00E327C6"/>
    <w:rsid w:val="00E346DF"/>
    <w:rsid w:val="00E3677E"/>
    <w:rsid w:val="00E36FB5"/>
    <w:rsid w:val="00E37401"/>
    <w:rsid w:val="00E37AA8"/>
    <w:rsid w:val="00E40606"/>
    <w:rsid w:val="00E4065D"/>
    <w:rsid w:val="00E40A0A"/>
    <w:rsid w:val="00E411AA"/>
    <w:rsid w:val="00E426CB"/>
    <w:rsid w:val="00E43551"/>
    <w:rsid w:val="00E4593A"/>
    <w:rsid w:val="00E47CC6"/>
    <w:rsid w:val="00E5129D"/>
    <w:rsid w:val="00E51870"/>
    <w:rsid w:val="00E52CC0"/>
    <w:rsid w:val="00E54D27"/>
    <w:rsid w:val="00E55300"/>
    <w:rsid w:val="00E5533D"/>
    <w:rsid w:val="00E5659B"/>
    <w:rsid w:val="00E56689"/>
    <w:rsid w:val="00E56936"/>
    <w:rsid w:val="00E5768C"/>
    <w:rsid w:val="00E57C16"/>
    <w:rsid w:val="00E60C55"/>
    <w:rsid w:val="00E61A3C"/>
    <w:rsid w:val="00E6414C"/>
    <w:rsid w:val="00E64441"/>
    <w:rsid w:val="00E6524E"/>
    <w:rsid w:val="00E663DB"/>
    <w:rsid w:val="00E715AE"/>
    <w:rsid w:val="00E71649"/>
    <w:rsid w:val="00E73BB7"/>
    <w:rsid w:val="00E75240"/>
    <w:rsid w:val="00E75387"/>
    <w:rsid w:val="00E7729B"/>
    <w:rsid w:val="00E77F88"/>
    <w:rsid w:val="00E80A1A"/>
    <w:rsid w:val="00E82050"/>
    <w:rsid w:val="00E82DC4"/>
    <w:rsid w:val="00E83609"/>
    <w:rsid w:val="00E838DC"/>
    <w:rsid w:val="00E850AF"/>
    <w:rsid w:val="00E85DE8"/>
    <w:rsid w:val="00E85F11"/>
    <w:rsid w:val="00E87DF7"/>
    <w:rsid w:val="00E9097A"/>
    <w:rsid w:val="00E90C0A"/>
    <w:rsid w:val="00E9149A"/>
    <w:rsid w:val="00E91A62"/>
    <w:rsid w:val="00E91E57"/>
    <w:rsid w:val="00E931B8"/>
    <w:rsid w:val="00E93F8D"/>
    <w:rsid w:val="00E9414D"/>
    <w:rsid w:val="00E9490F"/>
    <w:rsid w:val="00E95F83"/>
    <w:rsid w:val="00E96266"/>
    <w:rsid w:val="00E966E4"/>
    <w:rsid w:val="00E97229"/>
    <w:rsid w:val="00E9724F"/>
    <w:rsid w:val="00EA007F"/>
    <w:rsid w:val="00EA0E58"/>
    <w:rsid w:val="00EA103A"/>
    <w:rsid w:val="00EA32A1"/>
    <w:rsid w:val="00EA3359"/>
    <w:rsid w:val="00EA3BEC"/>
    <w:rsid w:val="00EA4961"/>
    <w:rsid w:val="00EA58EE"/>
    <w:rsid w:val="00EA6147"/>
    <w:rsid w:val="00EA67D1"/>
    <w:rsid w:val="00EA6D3C"/>
    <w:rsid w:val="00EA70EF"/>
    <w:rsid w:val="00EB00CB"/>
    <w:rsid w:val="00EB09FC"/>
    <w:rsid w:val="00EB469C"/>
    <w:rsid w:val="00EB4D29"/>
    <w:rsid w:val="00EB6B51"/>
    <w:rsid w:val="00EB7124"/>
    <w:rsid w:val="00EB7987"/>
    <w:rsid w:val="00EB7F30"/>
    <w:rsid w:val="00EC019A"/>
    <w:rsid w:val="00EC0703"/>
    <w:rsid w:val="00EC11E2"/>
    <w:rsid w:val="00EC24C9"/>
    <w:rsid w:val="00EC3087"/>
    <w:rsid w:val="00EC4E9E"/>
    <w:rsid w:val="00EC54E1"/>
    <w:rsid w:val="00EC6762"/>
    <w:rsid w:val="00EC7766"/>
    <w:rsid w:val="00ED0E7B"/>
    <w:rsid w:val="00ED115A"/>
    <w:rsid w:val="00ED1ACF"/>
    <w:rsid w:val="00ED3BC1"/>
    <w:rsid w:val="00ED3E62"/>
    <w:rsid w:val="00ED4DAB"/>
    <w:rsid w:val="00ED5225"/>
    <w:rsid w:val="00ED590C"/>
    <w:rsid w:val="00ED6010"/>
    <w:rsid w:val="00ED6DBD"/>
    <w:rsid w:val="00EE003B"/>
    <w:rsid w:val="00EE021D"/>
    <w:rsid w:val="00EE06C7"/>
    <w:rsid w:val="00EE1344"/>
    <w:rsid w:val="00EE177C"/>
    <w:rsid w:val="00EE1E8E"/>
    <w:rsid w:val="00EE2774"/>
    <w:rsid w:val="00EE2B6E"/>
    <w:rsid w:val="00EE373F"/>
    <w:rsid w:val="00EE394E"/>
    <w:rsid w:val="00EE497B"/>
    <w:rsid w:val="00EE4A50"/>
    <w:rsid w:val="00EE55B4"/>
    <w:rsid w:val="00EF0484"/>
    <w:rsid w:val="00EF09FA"/>
    <w:rsid w:val="00EF3059"/>
    <w:rsid w:val="00EF40BB"/>
    <w:rsid w:val="00EF460D"/>
    <w:rsid w:val="00EF4E82"/>
    <w:rsid w:val="00EF5EEF"/>
    <w:rsid w:val="00EF6375"/>
    <w:rsid w:val="00EF7FEA"/>
    <w:rsid w:val="00F01BED"/>
    <w:rsid w:val="00F01FC5"/>
    <w:rsid w:val="00F025A3"/>
    <w:rsid w:val="00F0281C"/>
    <w:rsid w:val="00F0401D"/>
    <w:rsid w:val="00F0420F"/>
    <w:rsid w:val="00F04476"/>
    <w:rsid w:val="00F04512"/>
    <w:rsid w:val="00F04DB5"/>
    <w:rsid w:val="00F04EC5"/>
    <w:rsid w:val="00F0605D"/>
    <w:rsid w:val="00F06080"/>
    <w:rsid w:val="00F062FB"/>
    <w:rsid w:val="00F06305"/>
    <w:rsid w:val="00F069B5"/>
    <w:rsid w:val="00F074F8"/>
    <w:rsid w:val="00F0752F"/>
    <w:rsid w:val="00F0785B"/>
    <w:rsid w:val="00F07D63"/>
    <w:rsid w:val="00F122BA"/>
    <w:rsid w:val="00F129F8"/>
    <w:rsid w:val="00F12B80"/>
    <w:rsid w:val="00F131BC"/>
    <w:rsid w:val="00F131F9"/>
    <w:rsid w:val="00F13517"/>
    <w:rsid w:val="00F138C5"/>
    <w:rsid w:val="00F14800"/>
    <w:rsid w:val="00F14D99"/>
    <w:rsid w:val="00F1565E"/>
    <w:rsid w:val="00F15A73"/>
    <w:rsid w:val="00F15CD1"/>
    <w:rsid w:val="00F1650C"/>
    <w:rsid w:val="00F16DB9"/>
    <w:rsid w:val="00F16FDF"/>
    <w:rsid w:val="00F172E8"/>
    <w:rsid w:val="00F17FA0"/>
    <w:rsid w:val="00F20256"/>
    <w:rsid w:val="00F223DA"/>
    <w:rsid w:val="00F22470"/>
    <w:rsid w:val="00F226DB"/>
    <w:rsid w:val="00F240F0"/>
    <w:rsid w:val="00F24F3F"/>
    <w:rsid w:val="00F255C9"/>
    <w:rsid w:val="00F27575"/>
    <w:rsid w:val="00F303B5"/>
    <w:rsid w:val="00F3544C"/>
    <w:rsid w:val="00F36CB6"/>
    <w:rsid w:val="00F40006"/>
    <w:rsid w:val="00F404BA"/>
    <w:rsid w:val="00F411B3"/>
    <w:rsid w:val="00F415CE"/>
    <w:rsid w:val="00F4175C"/>
    <w:rsid w:val="00F41C73"/>
    <w:rsid w:val="00F41CE3"/>
    <w:rsid w:val="00F41D35"/>
    <w:rsid w:val="00F421E6"/>
    <w:rsid w:val="00F42E75"/>
    <w:rsid w:val="00F43B26"/>
    <w:rsid w:val="00F44E20"/>
    <w:rsid w:val="00F44FBC"/>
    <w:rsid w:val="00F45F8B"/>
    <w:rsid w:val="00F4680E"/>
    <w:rsid w:val="00F470CD"/>
    <w:rsid w:val="00F500F2"/>
    <w:rsid w:val="00F516A9"/>
    <w:rsid w:val="00F53219"/>
    <w:rsid w:val="00F53539"/>
    <w:rsid w:val="00F56928"/>
    <w:rsid w:val="00F57D83"/>
    <w:rsid w:val="00F6019C"/>
    <w:rsid w:val="00F60D82"/>
    <w:rsid w:val="00F613D1"/>
    <w:rsid w:val="00F61E83"/>
    <w:rsid w:val="00F65393"/>
    <w:rsid w:val="00F65E7C"/>
    <w:rsid w:val="00F65ED1"/>
    <w:rsid w:val="00F67C78"/>
    <w:rsid w:val="00F67E38"/>
    <w:rsid w:val="00F726C7"/>
    <w:rsid w:val="00F757CE"/>
    <w:rsid w:val="00F75987"/>
    <w:rsid w:val="00F7599C"/>
    <w:rsid w:val="00F8056E"/>
    <w:rsid w:val="00F81ED9"/>
    <w:rsid w:val="00F8216A"/>
    <w:rsid w:val="00F830D3"/>
    <w:rsid w:val="00F830DD"/>
    <w:rsid w:val="00F830EC"/>
    <w:rsid w:val="00F83657"/>
    <w:rsid w:val="00F84F2F"/>
    <w:rsid w:val="00F8590F"/>
    <w:rsid w:val="00F86DF7"/>
    <w:rsid w:val="00F876E4"/>
    <w:rsid w:val="00F878D6"/>
    <w:rsid w:val="00F90378"/>
    <w:rsid w:val="00F91BE7"/>
    <w:rsid w:val="00F91DEF"/>
    <w:rsid w:val="00F921ED"/>
    <w:rsid w:val="00F92FB4"/>
    <w:rsid w:val="00F93D09"/>
    <w:rsid w:val="00F94D41"/>
    <w:rsid w:val="00F950D0"/>
    <w:rsid w:val="00F95F3E"/>
    <w:rsid w:val="00F967D8"/>
    <w:rsid w:val="00F96BFA"/>
    <w:rsid w:val="00F96D92"/>
    <w:rsid w:val="00FA0602"/>
    <w:rsid w:val="00FA0B43"/>
    <w:rsid w:val="00FA1315"/>
    <w:rsid w:val="00FA2966"/>
    <w:rsid w:val="00FA2DFD"/>
    <w:rsid w:val="00FA507A"/>
    <w:rsid w:val="00FB01B4"/>
    <w:rsid w:val="00FB0677"/>
    <w:rsid w:val="00FB155E"/>
    <w:rsid w:val="00FB18D7"/>
    <w:rsid w:val="00FB2792"/>
    <w:rsid w:val="00FB308D"/>
    <w:rsid w:val="00FB3F3B"/>
    <w:rsid w:val="00FB48E8"/>
    <w:rsid w:val="00FB4F67"/>
    <w:rsid w:val="00FB4FBB"/>
    <w:rsid w:val="00FB52C0"/>
    <w:rsid w:val="00FB53CD"/>
    <w:rsid w:val="00FB731C"/>
    <w:rsid w:val="00FB78E1"/>
    <w:rsid w:val="00FC0DF8"/>
    <w:rsid w:val="00FC1E67"/>
    <w:rsid w:val="00FC2092"/>
    <w:rsid w:val="00FC2DAF"/>
    <w:rsid w:val="00FC34CD"/>
    <w:rsid w:val="00FC36F0"/>
    <w:rsid w:val="00FC56FB"/>
    <w:rsid w:val="00FC60F8"/>
    <w:rsid w:val="00FC6750"/>
    <w:rsid w:val="00FC7827"/>
    <w:rsid w:val="00FC7A68"/>
    <w:rsid w:val="00FC7E33"/>
    <w:rsid w:val="00FD06D5"/>
    <w:rsid w:val="00FD1653"/>
    <w:rsid w:val="00FD2BFB"/>
    <w:rsid w:val="00FD2E6C"/>
    <w:rsid w:val="00FD345D"/>
    <w:rsid w:val="00FD4C0A"/>
    <w:rsid w:val="00FD504D"/>
    <w:rsid w:val="00FD60BA"/>
    <w:rsid w:val="00FE023F"/>
    <w:rsid w:val="00FE09D5"/>
    <w:rsid w:val="00FE0C8C"/>
    <w:rsid w:val="00FE3C68"/>
    <w:rsid w:val="00FE3DD2"/>
    <w:rsid w:val="00FE5353"/>
    <w:rsid w:val="00FE5FE7"/>
    <w:rsid w:val="00FE6B93"/>
    <w:rsid w:val="00FE6CE9"/>
    <w:rsid w:val="00FF0FDA"/>
    <w:rsid w:val="00FF1760"/>
    <w:rsid w:val="00FF26E6"/>
    <w:rsid w:val="00FF2EC5"/>
    <w:rsid w:val="00FF3AED"/>
    <w:rsid w:val="00FF459D"/>
    <w:rsid w:val="00FF48AD"/>
    <w:rsid w:val="00FF5055"/>
    <w:rsid w:val="00FF577E"/>
    <w:rsid w:val="00FF58B9"/>
    <w:rsid w:val="00FF62D2"/>
    <w:rsid w:val="00FF6F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BD"/>
    <w:rPr>
      <w:sz w:val="20"/>
      <w:szCs w:val="20"/>
    </w:rPr>
  </w:style>
  <w:style w:type="paragraph" w:styleId="Heading1">
    <w:name w:val="heading 1"/>
    <w:basedOn w:val="Normal"/>
    <w:next w:val="Normal"/>
    <w:link w:val="Heading1Char"/>
    <w:uiPriority w:val="99"/>
    <w:qFormat/>
    <w:rsid w:val="006E10B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E10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E10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138C5"/>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6E10B8"/>
    <w:pPr>
      <w:spacing w:before="240" w:after="60"/>
      <w:outlineLvl w:val="5"/>
    </w:pPr>
    <w:rPr>
      <w:rFonts w:ascii="Calibri" w:hAnsi="Calibri"/>
      <w:b/>
      <w:bCs/>
    </w:rPr>
  </w:style>
  <w:style w:type="paragraph" w:styleId="Heading9">
    <w:name w:val="heading 9"/>
    <w:basedOn w:val="Normal"/>
    <w:next w:val="Normal"/>
    <w:link w:val="Heading9Char"/>
    <w:uiPriority w:val="99"/>
    <w:qFormat/>
    <w:rsid w:val="00652879"/>
    <w:pPr>
      <w:spacing w:before="240" w:after="60"/>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40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CB6402"/>
    <w:rPr>
      <w:rFonts w:ascii="Cambria" w:hAnsi="Cambria" w:cs="Times New Roman"/>
      <w:b/>
      <w:i/>
      <w:sz w:val="28"/>
    </w:rPr>
  </w:style>
  <w:style w:type="character" w:customStyle="1" w:styleId="Heading3Char">
    <w:name w:val="Heading 3 Char"/>
    <w:basedOn w:val="DefaultParagraphFont"/>
    <w:link w:val="Heading3"/>
    <w:uiPriority w:val="99"/>
    <w:semiHidden/>
    <w:locked/>
    <w:rsid w:val="00CB6402"/>
    <w:rPr>
      <w:rFonts w:ascii="Cambria" w:hAnsi="Cambria" w:cs="Times New Roman"/>
      <w:b/>
      <w:sz w:val="26"/>
    </w:rPr>
  </w:style>
  <w:style w:type="character" w:customStyle="1" w:styleId="Heading4Char">
    <w:name w:val="Heading 4 Char"/>
    <w:basedOn w:val="DefaultParagraphFont"/>
    <w:link w:val="Heading4"/>
    <w:uiPriority w:val="99"/>
    <w:semiHidden/>
    <w:locked/>
    <w:rsid w:val="00CB6402"/>
    <w:rPr>
      <w:rFonts w:ascii="Calibri" w:hAnsi="Calibri" w:cs="Times New Roman"/>
      <w:b/>
      <w:sz w:val="28"/>
    </w:rPr>
  </w:style>
  <w:style w:type="character" w:customStyle="1" w:styleId="Heading6Char">
    <w:name w:val="Heading 6 Char"/>
    <w:basedOn w:val="DefaultParagraphFont"/>
    <w:link w:val="Heading6"/>
    <w:uiPriority w:val="99"/>
    <w:semiHidden/>
    <w:locked/>
    <w:rsid w:val="00CB6402"/>
    <w:rPr>
      <w:rFonts w:ascii="Calibri" w:hAnsi="Calibri" w:cs="Times New Roman"/>
      <w:b/>
    </w:rPr>
  </w:style>
  <w:style w:type="character" w:customStyle="1" w:styleId="Heading9Char">
    <w:name w:val="Heading 9 Char"/>
    <w:basedOn w:val="DefaultParagraphFont"/>
    <w:link w:val="Heading9"/>
    <w:uiPriority w:val="99"/>
    <w:semiHidden/>
    <w:locked/>
    <w:rsid w:val="00CB6402"/>
    <w:rPr>
      <w:rFonts w:ascii="Cambria" w:hAnsi="Cambria" w:cs="Times New Roman"/>
    </w:rPr>
  </w:style>
  <w:style w:type="paragraph" w:styleId="BodyTextIndent">
    <w:name w:val="Body Text Indent"/>
    <w:basedOn w:val="Normal"/>
    <w:link w:val="BodyTextIndentChar"/>
    <w:uiPriority w:val="99"/>
    <w:rsid w:val="006E10B8"/>
    <w:pPr>
      <w:ind w:firstLine="1134"/>
    </w:pPr>
    <w:rPr>
      <w:sz w:val="28"/>
    </w:rPr>
  </w:style>
  <w:style w:type="character" w:customStyle="1" w:styleId="BodyTextIndentChar">
    <w:name w:val="Body Text Indent Char"/>
    <w:basedOn w:val="DefaultParagraphFont"/>
    <w:link w:val="BodyTextIndent"/>
    <w:uiPriority w:val="99"/>
    <w:locked/>
    <w:rsid w:val="004E262C"/>
    <w:rPr>
      <w:rFonts w:cs="Times New Roman"/>
      <w:sz w:val="28"/>
    </w:rPr>
  </w:style>
  <w:style w:type="paragraph" w:customStyle="1" w:styleId="FR1">
    <w:name w:val="FR1"/>
    <w:uiPriority w:val="99"/>
    <w:rsid w:val="006E10B8"/>
    <w:pPr>
      <w:widowControl w:val="0"/>
    </w:pPr>
    <w:rPr>
      <w:rFonts w:ascii="Arial" w:hAnsi="Arial"/>
      <w:sz w:val="24"/>
      <w:szCs w:val="20"/>
    </w:rPr>
  </w:style>
  <w:style w:type="paragraph" w:styleId="BodyText">
    <w:name w:val="Body Text"/>
    <w:basedOn w:val="Normal"/>
    <w:link w:val="BodyTextChar"/>
    <w:uiPriority w:val="99"/>
    <w:rsid w:val="006E10B8"/>
    <w:pPr>
      <w:spacing w:after="120"/>
    </w:pPr>
  </w:style>
  <w:style w:type="character" w:customStyle="1" w:styleId="BodyTextChar">
    <w:name w:val="Body Text Char"/>
    <w:basedOn w:val="DefaultParagraphFont"/>
    <w:link w:val="BodyText"/>
    <w:uiPriority w:val="99"/>
    <w:semiHidden/>
    <w:locked/>
    <w:rsid w:val="00CB6402"/>
    <w:rPr>
      <w:rFonts w:cs="Times New Roman"/>
      <w:sz w:val="20"/>
    </w:rPr>
  </w:style>
  <w:style w:type="character" w:styleId="PageNumber">
    <w:name w:val="page number"/>
    <w:basedOn w:val="DefaultParagraphFont"/>
    <w:uiPriority w:val="99"/>
    <w:rsid w:val="006E10B8"/>
    <w:rPr>
      <w:rFonts w:cs="Times New Roman"/>
    </w:rPr>
  </w:style>
  <w:style w:type="paragraph" w:styleId="Header">
    <w:name w:val="header"/>
    <w:basedOn w:val="Normal"/>
    <w:link w:val="HeaderChar"/>
    <w:uiPriority w:val="99"/>
    <w:rsid w:val="006E10B8"/>
    <w:pPr>
      <w:tabs>
        <w:tab w:val="center" w:pos="4153"/>
        <w:tab w:val="right" w:pos="8306"/>
      </w:tabs>
    </w:pPr>
  </w:style>
  <w:style w:type="character" w:customStyle="1" w:styleId="HeaderChar">
    <w:name w:val="Header Char"/>
    <w:basedOn w:val="DefaultParagraphFont"/>
    <w:link w:val="Header"/>
    <w:uiPriority w:val="99"/>
    <w:locked/>
    <w:rsid w:val="0002071D"/>
    <w:rPr>
      <w:rFonts w:cs="Times New Roman"/>
    </w:rPr>
  </w:style>
  <w:style w:type="paragraph" w:customStyle="1" w:styleId="a">
    <w:name w:val="Текст доклада"/>
    <w:basedOn w:val="Normal"/>
    <w:uiPriority w:val="99"/>
    <w:rsid w:val="006E10B8"/>
    <w:pPr>
      <w:ind w:firstLine="567"/>
      <w:jc w:val="both"/>
    </w:pPr>
    <w:rPr>
      <w:sz w:val="24"/>
    </w:rPr>
  </w:style>
  <w:style w:type="paragraph" w:styleId="NormalWeb">
    <w:name w:val="Normal (Web)"/>
    <w:basedOn w:val="Normal"/>
    <w:uiPriority w:val="99"/>
    <w:rsid w:val="006E10B8"/>
    <w:pPr>
      <w:spacing w:before="100" w:beforeAutospacing="1" w:after="100" w:afterAutospacing="1"/>
      <w:ind w:left="525" w:right="525"/>
      <w:jc w:val="both"/>
    </w:pPr>
    <w:rPr>
      <w:rFonts w:ascii="Verdana" w:hAnsi="Verdana"/>
      <w:color w:val="002D59"/>
      <w:sz w:val="16"/>
      <w:szCs w:val="16"/>
    </w:rPr>
  </w:style>
  <w:style w:type="paragraph" w:styleId="BalloonText">
    <w:name w:val="Balloon Text"/>
    <w:basedOn w:val="Normal"/>
    <w:link w:val="BalloonTextChar"/>
    <w:uiPriority w:val="99"/>
    <w:semiHidden/>
    <w:rsid w:val="006E10B8"/>
    <w:rPr>
      <w:sz w:val="2"/>
    </w:rPr>
  </w:style>
  <w:style w:type="character" w:customStyle="1" w:styleId="BalloonTextChar">
    <w:name w:val="Balloon Text Char"/>
    <w:basedOn w:val="DefaultParagraphFont"/>
    <w:link w:val="BalloonText"/>
    <w:uiPriority w:val="99"/>
    <w:semiHidden/>
    <w:locked/>
    <w:rsid w:val="00CB6402"/>
    <w:rPr>
      <w:rFonts w:cs="Times New Roman"/>
      <w:sz w:val="2"/>
    </w:rPr>
  </w:style>
  <w:style w:type="paragraph" w:styleId="BodyText2">
    <w:name w:val="Body Text 2"/>
    <w:basedOn w:val="Normal"/>
    <w:link w:val="BodyText2Char"/>
    <w:uiPriority w:val="99"/>
    <w:rsid w:val="006E10B8"/>
    <w:pPr>
      <w:jc w:val="both"/>
    </w:pPr>
  </w:style>
  <w:style w:type="character" w:customStyle="1" w:styleId="BodyText2Char">
    <w:name w:val="Body Text 2 Char"/>
    <w:basedOn w:val="DefaultParagraphFont"/>
    <w:link w:val="BodyText2"/>
    <w:uiPriority w:val="99"/>
    <w:semiHidden/>
    <w:locked/>
    <w:rsid w:val="00CB6402"/>
    <w:rPr>
      <w:rFonts w:cs="Times New Roman"/>
      <w:sz w:val="20"/>
    </w:rPr>
  </w:style>
  <w:style w:type="paragraph" w:styleId="BodyTextIndent2">
    <w:name w:val="Body Text Indent 2"/>
    <w:basedOn w:val="Normal"/>
    <w:link w:val="BodyTextIndent2Char"/>
    <w:uiPriority w:val="99"/>
    <w:rsid w:val="006E10B8"/>
    <w:pPr>
      <w:ind w:firstLine="567"/>
      <w:jc w:val="both"/>
    </w:pPr>
  </w:style>
  <w:style w:type="character" w:customStyle="1" w:styleId="BodyTextIndent2Char">
    <w:name w:val="Body Text Indent 2 Char"/>
    <w:basedOn w:val="DefaultParagraphFont"/>
    <w:link w:val="BodyTextIndent2"/>
    <w:uiPriority w:val="99"/>
    <w:semiHidden/>
    <w:locked/>
    <w:rsid w:val="00CB6402"/>
    <w:rPr>
      <w:rFonts w:cs="Times New Roman"/>
      <w:sz w:val="20"/>
    </w:rPr>
  </w:style>
  <w:style w:type="paragraph" w:styleId="Footer">
    <w:name w:val="footer"/>
    <w:basedOn w:val="Normal"/>
    <w:link w:val="FooterChar"/>
    <w:uiPriority w:val="99"/>
    <w:rsid w:val="006E10B8"/>
    <w:pPr>
      <w:tabs>
        <w:tab w:val="center" w:pos="4677"/>
        <w:tab w:val="right" w:pos="9355"/>
      </w:tabs>
    </w:pPr>
  </w:style>
  <w:style w:type="character" w:customStyle="1" w:styleId="FooterChar">
    <w:name w:val="Footer Char"/>
    <w:basedOn w:val="DefaultParagraphFont"/>
    <w:link w:val="Footer"/>
    <w:uiPriority w:val="99"/>
    <w:semiHidden/>
    <w:locked/>
    <w:rsid w:val="00CB6402"/>
    <w:rPr>
      <w:rFonts w:cs="Times New Roman"/>
      <w:sz w:val="20"/>
    </w:rPr>
  </w:style>
  <w:style w:type="paragraph" w:styleId="BodyTextIndent3">
    <w:name w:val="Body Text Indent 3"/>
    <w:basedOn w:val="Normal"/>
    <w:link w:val="BodyTextIndent3Char"/>
    <w:uiPriority w:val="99"/>
    <w:rsid w:val="006E10B8"/>
    <w:pPr>
      <w:ind w:firstLine="900"/>
      <w:jc w:val="both"/>
    </w:pPr>
    <w:rPr>
      <w:sz w:val="16"/>
      <w:szCs w:val="16"/>
    </w:rPr>
  </w:style>
  <w:style w:type="character" w:customStyle="1" w:styleId="BodyTextIndent3Char">
    <w:name w:val="Body Text Indent 3 Char"/>
    <w:basedOn w:val="DefaultParagraphFont"/>
    <w:link w:val="BodyTextIndent3"/>
    <w:uiPriority w:val="99"/>
    <w:semiHidden/>
    <w:locked/>
    <w:rsid w:val="00CB6402"/>
    <w:rPr>
      <w:rFonts w:cs="Times New Roman"/>
      <w:sz w:val="16"/>
    </w:rPr>
  </w:style>
  <w:style w:type="paragraph" w:customStyle="1" w:styleId="a0">
    <w:name w:val="ТЕКСТ"/>
    <w:uiPriority w:val="99"/>
    <w:rsid w:val="006E10B8"/>
    <w:pPr>
      <w:spacing w:before="60"/>
      <w:ind w:firstLine="567"/>
      <w:jc w:val="both"/>
    </w:pPr>
    <w:rPr>
      <w:rFonts w:ascii="NTHarmonica Narrow" w:hAnsi="NTHarmonica Narrow"/>
      <w:szCs w:val="20"/>
    </w:rPr>
  </w:style>
  <w:style w:type="paragraph" w:styleId="Title">
    <w:name w:val="Title"/>
    <w:basedOn w:val="Normal"/>
    <w:link w:val="TitleChar"/>
    <w:uiPriority w:val="99"/>
    <w:qFormat/>
    <w:rsid w:val="006E10B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CB6402"/>
    <w:rPr>
      <w:rFonts w:ascii="Cambria" w:hAnsi="Cambria" w:cs="Times New Roman"/>
      <w:b/>
      <w:kern w:val="28"/>
      <w:sz w:val="32"/>
    </w:rPr>
  </w:style>
  <w:style w:type="table" w:styleId="TableGrid">
    <w:name w:val="Table Grid"/>
    <w:basedOn w:val="TableNormal"/>
    <w:uiPriority w:val="99"/>
    <w:rsid w:val="00A419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333FE"/>
    <w:pPr>
      <w:widowControl w:val="0"/>
      <w:autoSpaceDE w:val="0"/>
      <w:autoSpaceDN w:val="0"/>
      <w:adjustRightInd w:val="0"/>
      <w:ind w:firstLine="720"/>
    </w:pPr>
    <w:rPr>
      <w:rFonts w:ascii="Arial" w:hAnsi="Arial" w:cs="Arial"/>
      <w:sz w:val="20"/>
      <w:szCs w:val="20"/>
    </w:rPr>
  </w:style>
  <w:style w:type="paragraph" w:styleId="BodyTextFirstIndent2">
    <w:name w:val="Body Text First Indent 2"/>
    <w:basedOn w:val="BodyTextIndent"/>
    <w:link w:val="BodyTextFirstIndent2Char"/>
    <w:uiPriority w:val="99"/>
    <w:rsid w:val="00652879"/>
    <w:pPr>
      <w:spacing w:after="120"/>
      <w:ind w:left="283" w:firstLine="210"/>
    </w:pPr>
    <w:rPr>
      <w:sz w:val="20"/>
    </w:rPr>
  </w:style>
  <w:style w:type="character" w:customStyle="1" w:styleId="BodyTextFirstIndent2Char">
    <w:name w:val="Body Text First Indent 2 Char"/>
    <w:basedOn w:val="BodyTextIndentChar"/>
    <w:link w:val="BodyTextFirstIndent2"/>
    <w:uiPriority w:val="99"/>
    <w:locked/>
    <w:rsid w:val="00C93C89"/>
  </w:style>
  <w:style w:type="paragraph" w:customStyle="1" w:styleId="a1">
    <w:name w:val="Знак Знак Знак Знак Знак Знак Знак"/>
    <w:basedOn w:val="Normal"/>
    <w:uiPriority w:val="99"/>
    <w:rsid w:val="00D32668"/>
    <w:pPr>
      <w:spacing w:after="160" w:line="240" w:lineRule="exact"/>
    </w:pPr>
    <w:rPr>
      <w:rFonts w:ascii="Verdana" w:hAnsi="Verdana"/>
      <w:sz w:val="24"/>
      <w:szCs w:val="24"/>
      <w:lang w:val="en-US" w:eastAsia="en-US"/>
    </w:rPr>
  </w:style>
  <w:style w:type="paragraph" w:customStyle="1" w:styleId="a2">
    <w:name w:val="Таблицы (моноширинный)"/>
    <w:basedOn w:val="Normal"/>
    <w:next w:val="Normal"/>
    <w:uiPriority w:val="99"/>
    <w:rsid w:val="00D32668"/>
    <w:pPr>
      <w:autoSpaceDE w:val="0"/>
      <w:autoSpaceDN w:val="0"/>
      <w:adjustRightInd w:val="0"/>
      <w:jc w:val="both"/>
    </w:pPr>
    <w:rPr>
      <w:rFonts w:ascii="Courier New" w:hAnsi="Courier New" w:cs="Courier New"/>
    </w:rPr>
  </w:style>
  <w:style w:type="paragraph" w:customStyle="1" w:styleId="ConsTitle">
    <w:name w:val="ConsTitle"/>
    <w:uiPriority w:val="99"/>
    <w:rsid w:val="00DF6A3F"/>
    <w:pPr>
      <w:widowControl w:val="0"/>
    </w:pPr>
    <w:rPr>
      <w:rFonts w:ascii="Arial" w:hAnsi="Arial"/>
      <w:b/>
      <w:sz w:val="16"/>
      <w:szCs w:val="20"/>
    </w:rPr>
  </w:style>
  <w:style w:type="paragraph" w:customStyle="1" w:styleId="a3">
    <w:name w:val="Знак"/>
    <w:basedOn w:val="Normal"/>
    <w:uiPriority w:val="99"/>
    <w:rsid w:val="00DA30D7"/>
    <w:pPr>
      <w:spacing w:after="160" w:line="240" w:lineRule="exact"/>
    </w:pPr>
    <w:rPr>
      <w:rFonts w:ascii="Verdana" w:hAnsi="Verdana"/>
      <w:sz w:val="24"/>
      <w:szCs w:val="24"/>
      <w:lang w:val="en-US" w:eastAsia="en-US"/>
    </w:rPr>
  </w:style>
  <w:style w:type="paragraph" w:customStyle="1" w:styleId="a4">
    <w:name w:val="Знак Знак Знак Знак Знак Знак Знак Знак Знак Знак"/>
    <w:basedOn w:val="Normal"/>
    <w:uiPriority w:val="99"/>
    <w:rsid w:val="008F238C"/>
    <w:pPr>
      <w:spacing w:after="160" w:line="240" w:lineRule="exact"/>
    </w:pPr>
    <w:rPr>
      <w:rFonts w:ascii="Verdana" w:hAnsi="Verdana"/>
      <w:sz w:val="24"/>
      <w:szCs w:val="24"/>
      <w:lang w:val="en-US" w:eastAsia="en-US"/>
    </w:rPr>
  </w:style>
  <w:style w:type="paragraph" w:customStyle="1" w:styleId="1">
    <w:name w:val="Знак Знак Знак Знак Знак Знак Знак1"/>
    <w:basedOn w:val="Normal"/>
    <w:uiPriority w:val="99"/>
    <w:rsid w:val="008A3D3B"/>
    <w:pPr>
      <w:spacing w:after="160" w:line="240" w:lineRule="exact"/>
    </w:pPr>
    <w:rPr>
      <w:rFonts w:ascii="Verdana" w:hAnsi="Verdana"/>
      <w:sz w:val="24"/>
      <w:szCs w:val="24"/>
      <w:lang w:val="en-US" w:eastAsia="en-US"/>
    </w:rPr>
  </w:style>
  <w:style w:type="paragraph" w:customStyle="1" w:styleId="a5">
    <w:name w:val="Знак Знак Знак Знак"/>
    <w:basedOn w:val="Normal"/>
    <w:uiPriority w:val="99"/>
    <w:rsid w:val="00621079"/>
    <w:pPr>
      <w:spacing w:after="160" w:line="240" w:lineRule="exact"/>
    </w:pPr>
    <w:rPr>
      <w:rFonts w:ascii="Verdana" w:hAnsi="Verdana"/>
      <w:sz w:val="24"/>
      <w:szCs w:val="24"/>
      <w:lang w:val="en-US" w:eastAsia="en-US"/>
    </w:rPr>
  </w:style>
  <w:style w:type="paragraph" w:customStyle="1" w:styleId="a6">
    <w:name w:val="Знак Знак Знак Знак Знак Знак Знак Знак Знак Знак Знак Знак Знак"/>
    <w:basedOn w:val="Normal"/>
    <w:uiPriority w:val="99"/>
    <w:rsid w:val="005C27F4"/>
    <w:pPr>
      <w:spacing w:after="160" w:line="240" w:lineRule="exact"/>
    </w:pPr>
    <w:rPr>
      <w:rFonts w:ascii="Verdana" w:hAnsi="Verdana"/>
      <w:sz w:val="24"/>
      <w:szCs w:val="24"/>
      <w:lang w:val="en-US" w:eastAsia="en-US"/>
    </w:rPr>
  </w:style>
  <w:style w:type="paragraph" w:customStyle="1" w:styleId="10">
    <w:name w:val="Знак Знак Знак Знак Знак Знак Знак Знак Знак Знак1"/>
    <w:basedOn w:val="Normal"/>
    <w:uiPriority w:val="99"/>
    <w:rsid w:val="00E1302B"/>
    <w:pPr>
      <w:spacing w:after="160" w:line="240" w:lineRule="exact"/>
    </w:pPr>
    <w:rPr>
      <w:rFonts w:ascii="Verdana" w:hAnsi="Verdana"/>
      <w:sz w:val="24"/>
      <w:szCs w:val="24"/>
      <w:lang w:val="en-US" w:eastAsia="en-US"/>
    </w:rPr>
  </w:style>
  <w:style w:type="paragraph" w:customStyle="1" w:styleId="11">
    <w:name w:val="Знак Знак Знак Знак Знак Знак Знак Знак Знак Знак Знак Знак Знак1"/>
    <w:basedOn w:val="Normal"/>
    <w:uiPriority w:val="99"/>
    <w:rsid w:val="00AC42DE"/>
    <w:pPr>
      <w:spacing w:after="160" w:line="240" w:lineRule="exact"/>
    </w:pPr>
    <w:rPr>
      <w:rFonts w:ascii="Verdana" w:hAnsi="Verdana"/>
      <w:sz w:val="24"/>
      <w:szCs w:val="24"/>
      <w:lang w:val="en-US" w:eastAsia="en-US"/>
    </w:rPr>
  </w:style>
  <w:style w:type="paragraph" w:customStyle="1" w:styleId="12">
    <w:name w:val="Знак Знак Знак Знак1"/>
    <w:basedOn w:val="Normal"/>
    <w:uiPriority w:val="99"/>
    <w:rsid w:val="00AC42DE"/>
    <w:pPr>
      <w:spacing w:after="160" w:line="240" w:lineRule="exact"/>
    </w:pPr>
    <w:rPr>
      <w:rFonts w:ascii="Verdana" w:hAnsi="Verdana"/>
      <w:sz w:val="24"/>
      <w:szCs w:val="24"/>
      <w:lang w:val="en-US" w:eastAsia="en-US"/>
    </w:rPr>
  </w:style>
  <w:style w:type="paragraph" w:styleId="ListParagraph">
    <w:name w:val="List Paragraph"/>
    <w:basedOn w:val="Normal"/>
    <w:uiPriority w:val="99"/>
    <w:qFormat/>
    <w:rsid w:val="00CD77A3"/>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7954A1"/>
    <w:rPr>
      <w:rFonts w:cs="Times New Roman"/>
      <w:color w:val="0000FF"/>
      <w:u w:val="single"/>
    </w:rPr>
  </w:style>
  <w:style w:type="paragraph" w:customStyle="1" w:styleId="ConsPlusNonformat">
    <w:name w:val="ConsPlusNonformat"/>
    <w:uiPriority w:val="99"/>
    <w:rsid w:val="008771E6"/>
    <w:pPr>
      <w:autoSpaceDE w:val="0"/>
      <w:autoSpaceDN w:val="0"/>
      <w:adjustRightInd w:val="0"/>
    </w:pPr>
    <w:rPr>
      <w:rFonts w:ascii="Courier New" w:hAnsi="Courier New" w:cs="Courier New"/>
      <w:sz w:val="20"/>
      <w:szCs w:val="20"/>
    </w:rPr>
  </w:style>
  <w:style w:type="paragraph" w:styleId="NoSpacing">
    <w:name w:val="No Spacing"/>
    <w:uiPriority w:val="99"/>
    <w:qFormat/>
    <w:rsid w:val="0065320E"/>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153718307">
      <w:marLeft w:val="0"/>
      <w:marRight w:val="0"/>
      <w:marTop w:val="0"/>
      <w:marBottom w:val="0"/>
      <w:divBdr>
        <w:top w:val="none" w:sz="0" w:space="0" w:color="auto"/>
        <w:left w:val="none" w:sz="0" w:space="0" w:color="auto"/>
        <w:bottom w:val="none" w:sz="0" w:space="0" w:color="auto"/>
        <w:right w:val="none" w:sz="0" w:space="0" w:color="auto"/>
      </w:divBdr>
    </w:div>
    <w:div w:id="1153718308">
      <w:marLeft w:val="0"/>
      <w:marRight w:val="0"/>
      <w:marTop w:val="0"/>
      <w:marBottom w:val="0"/>
      <w:divBdr>
        <w:top w:val="none" w:sz="0" w:space="0" w:color="auto"/>
        <w:left w:val="none" w:sz="0" w:space="0" w:color="auto"/>
        <w:bottom w:val="none" w:sz="0" w:space="0" w:color="auto"/>
        <w:right w:val="none" w:sz="0" w:space="0" w:color="auto"/>
      </w:divBdr>
    </w:div>
    <w:div w:id="1153718309">
      <w:marLeft w:val="0"/>
      <w:marRight w:val="0"/>
      <w:marTop w:val="0"/>
      <w:marBottom w:val="0"/>
      <w:divBdr>
        <w:top w:val="none" w:sz="0" w:space="0" w:color="auto"/>
        <w:left w:val="none" w:sz="0" w:space="0" w:color="auto"/>
        <w:bottom w:val="none" w:sz="0" w:space="0" w:color="auto"/>
        <w:right w:val="none" w:sz="0" w:space="0" w:color="auto"/>
      </w:divBdr>
    </w:div>
    <w:div w:id="1153718310">
      <w:marLeft w:val="0"/>
      <w:marRight w:val="0"/>
      <w:marTop w:val="0"/>
      <w:marBottom w:val="0"/>
      <w:divBdr>
        <w:top w:val="none" w:sz="0" w:space="0" w:color="auto"/>
        <w:left w:val="none" w:sz="0" w:space="0" w:color="auto"/>
        <w:bottom w:val="none" w:sz="0" w:space="0" w:color="auto"/>
        <w:right w:val="none" w:sz="0" w:space="0" w:color="auto"/>
      </w:divBdr>
    </w:div>
    <w:div w:id="1153718311">
      <w:marLeft w:val="0"/>
      <w:marRight w:val="0"/>
      <w:marTop w:val="0"/>
      <w:marBottom w:val="0"/>
      <w:divBdr>
        <w:top w:val="none" w:sz="0" w:space="0" w:color="auto"/>
        <w:left w:val="none" w:sz="0" w:space="0" w:color="auto"/>
        <w:bottom w:val="none" w:sz="0" w:space="0" w:color="auto"/>
        <w:right w:val="none" w:sz="0" w:space="0" w:color="auto"/>
      </w:divBdr>
    </w:div>
    <w:div w:id="1153718312">
      <w:marLeft w:val="0"/>
      <w:marRight w:val="0"/>
      <w:marTop w:val="0"/>
      <w:marBottom w:val="0"/>
      <w:divBdr>
        <w:top w:val="none" w:sz="0" w:space="0" w:color="auto"/>
        <w:left w:val="none" w:sz="0" w:space="0" w:color="auto"/>
        <w:bottom w:val="none" w:sz="0" w:space="0" w:color="auto"/>
        <w:right w:val="none" w:sz="0" w:space="0" w:color="auto"/>
      </w:divBdr>
    </w:div>
    <w:div w:id="1153718313">
      <w:marLeft w:val="0"/>
      <w:marRight w:val="0"/>
      <w:marTop w:val="0"/>
      <w:marBottom w:val="0"/>
      <w:divBdr>
        <w:top w:val="none" w:sz="0" w:space="0" w:color="auto"/>
        <w:left w:val="none" w:sz="0" w:space="0" w:color="auto"/>
        <w:bottom w:val="none" w:sz="0" w:space="0" w:color="auto"/>
        <w:right w:val="none" w:sz="0" w:space="0" w:color="auto"/>
      </w:divBdr>
    </w:div>
    <w:div w:id="1153718314">
      <w:marLeft w:val="0"/>
      <w:marRight w:val="0"/>
      <w:marTop w:val="0"/>
      <w:marBottom w:val="0"/>
      <w:divBdr>
        <w:top w:val="none" w:sz="0" w:space="0" w:color="auto"/>
        <w:left w:val="none" w:sz="0" w:space="0" w:color="auto"/>
        <w:bottom w:val="none" w:sz="0" w:space="0" w:color="auto"/>
        <w:right w:val="none" w:sz="0" w:space="0" w:color="auto"/>
      </w:divBdr>
    </w:div>
    <w:div w:id="1153718315">
      <w:marLeft w:val="0"/>
      <w:marRight w:val="0"/>
      <w:marTop w:val="0"/>
      <w:marBottom w:val="0"/>
      <w:divBdr>
        <w:top w:val="none" w:sz="0" w:space="0" w:color="auto"/>
        <w:left w:val="none" w:sz="0" w:space="0" w:color="auto"/>
        <w:bottom w:val="none" w:sz="0" w:space="0" w:color="auto"/>
        <w:right w:val="none" w:sz="0" w:space="0" w:color="auto"/>
      </w:divBdr>
    </w:div>
    <w:div w:id="1153718316">
      <w:marLeft w:val="0"/>
      <w:marRight w:val="0"/>
      <w:marTop w:val="0"/>
      <w:marBottom w:val="0"/>
      <w:divBdr>
        <w:top w:val="none" w:sz="0" w:space="0" w:color="auto"/>
        <w:left w:val="none" w:sz="0" w:space="0" w:color="auto"/>
        <w:bottom w:val="none" w:sz="0" w:space="0" w:color="auto"/>
        <w:right w:val="none" w:sz="0" w:space="0" w:color="auto"/>
      </w:divBdr>
    </w:div>
    <w:div w:id="1153718317">
      <w:marLeft w:val="0"/>
      <w:marRight w:val="0"/>
      <w:marTop w:val="0"/>
      <w:marBottom w:val="0"/>
      <w:divBdr>
        <w:top w:val="none" w:sz="0" w:space="0" w:color="auto"/>
        <w:left w:val="none" w:sz="0" w:space="0" w:color="auto"/>
        <w:bottom w:val="none" w:sz="0" w:space="0" w:color="auto"/>
        <w:right w:val="none" w:sz="0" w:space="0" w:color="auto"/>
      </w:divBdr>
    </w:div>
    <w:div w:id="1153718318">
      <w:marLeft w:val="0"/>
      <w:marRight w:val="0"/>
      <w:marTop w:val="0"/>
      <w:marBottom w:val="0"/>
      <w:divBdr>
        <w:top w:val="none" w:sz="0" w:space="0" w:color="auto"/>
        <w:left w:val="none" w:sz="0" w:space="0" w:color="auto"/>
        <w:bottom w:val="none" w:sz="0" w:space="0" w:color="auto"/>
        <w:right w:val="none" w:sz="0" w:space="0" w:color="auto"/>
      </w:divBdr>
    </w:div>
    <w:div w:id="1153718319">
      <w:marLeft w:val="0"/>
      <w:marRight w:val="0"/>
      <w:marTop w:val="0"/>
      <w:marBottom w:val="0"/>
      <w:divBdr>
        <w:top w:val="none" w:sz="0" w:space="0" w:color="auto"/>
        <w:left w:val="none" w:sz="0" w:space="0" w:color="auto"/>
        <w:bottom w:val="none" w:sz="0" w:space="0" w:color="auto"/>
        <w:right w:val="none" w:sz="0" w:space="0" w:color="auto"/>
      </w:divBdr>
    </w:div>
    <w:div w:id="1153718320">
      <w:marLeft w:val="0"/>
      <w:marRight w:val="0"/>
      <w:marTop w:val="0"/>
      <w:marBottom w:val="0"/>
      <w:divBdr>
        <w:top w:val="none" w:sz="0" w:space="0" w:color="auto"/>
        <w:left w:val="none" w:sz="0" w:space="0" w:color="auto"/>
        <w:bottom w:val="none" w:sz="0" w:space="0" w:color="auto"/>
        <w:right w:val="none" w:sz="0" w:space="0" w:color="auto"/>
      </w:divBdr>
    </w:div>
    <w:div w:id="1153718321">
      <w:marLeft w:val="0"/>
      <w:marRight w:val="0"/>
      <w:marTop w:val="0"/>
      <w:marBottom w:val="0"/>
      <w:divBdr>
        <w:top w:val="none" w:sz="0" w:space="0" w:color="auto"/>
        <w:left w:val="none" w:sz="0" w:space="0" w:color="auto"/>
        <w:bottom w:val="none" w:sz="0" w:space="0" w:color="auto"/>
        <w:right w:val="none" w:sz="0" w:space="0" w:color="auto"/>
      </w:divBdr>
    </w:div>
    <w:div w:id="1153718322">
      <w:marLeft w:val="0"/>
      <w:marRight w:val="0"/>
      <w:marTop w:val="0"/>
      <w:marBottom w:val="0"/>
      <w:divBdr>
        <w:top w:val="none" w:sz="0" w:space="0" w:color="auto"/>
        <w:left w:val="none" w:sz="0" w:space="0" w:color="auto"/>
        <w:bottom w:val="none" w:sz="0" w:space="0" w:color="auto"/>
        <w:right w:val="none" w:sz="0" w:space="0" w:color="auto"/>
      </w:divBdr>
    </w:div>
    <w:div w:id="1153718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1494</TotalTime>
  <Pages>4</Pages>
  <Words>1460</Words>
  <Characters>8323</Characters>
  <Application>Microsoft Office Outlook</Application>
  <DocSecurity>0</DocSecurity>
  <Lines>0</Lines>
  <Paragraphs>0</Paragraphs>
  <ScaleCrop>false</ScaleCrop>
  <Company>Отдел доходов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доходной базы областного</dc:title>
  <dc:subject/>
  <dc:creator>gorobets</dc:creator>
  <cp:keywords/>
  <dc:description/>
  <cp:lastModifiedBy>Viktoria</cp:lastModifiedBy>
  <cp:revision>271</cp:revision>
  <cp:lastPrinted>2014-10-31T05:48:00Z</cp:lastPrinted>
  <dcterms:created xsi:type="dcterms:W3CDTF">2013-10-15T04:38:00Z</dcterms:created>
  <dcterms:modified xsi:type="dcterms:W3CDTF">2015-09-16T12:37:00Z</dcterms:modified>
</cp:coreProperties>
</file>